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1"/>
        <w:gridCol w:w="945"/>
        <w:gridCol w:w="946"/>
        <w:gridCol w:w="946"/>
        <w:gridCol w:w="1298"/>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отсутствуют / </w:t>
            </w:r>
            <w:r>
              <w:rPr>
                <w:rFonts w:ascii="Times New Roman" w:hAnsi="Times New Roman"/>
                <w:kern w:val="0"/>
                <w:sz w:val="20"/>
                <w:szCs w:val="20"/>
              </w:rPr>
              <w:t>имеются</w:t>
            </w:r>
            <w:r>
              <w:rPr>
                <w:rFonts w:ascii="Times New Roman" w:hAnsi="Times New Roman"/>
                <w:kern w:val="0"/>
                <w:sz w:val="20"/>
                <w:szCs w:val="20"/>
              </w:rPr>
              <w:t>.</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3</Pages>
  <Words>1032</Words>
  <Characters>7260</Characters>
  <CharactersWithSpaces>8246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2025-11-12T10:42:09Z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