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D3" w:rsidRDefault="00870AD3" w:rsidP="00870AD3">
      <w:pPr>
        <w:pStyle w:val="1b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:rsidR="00C21302" w:rsidRPr="00870AD3" w:rsidRDefault="00870AD3" w:rsidP="00870AD3">
      <w:pPr>
        <w:pStyle w:val="1b"/>
        <w:jc w:val="right"/>
        <w:rPr>
          <w:b w:val="0"/>
          <w:sz w:val="22"/>
          <w:szCs w:val="22"/>
        </w:rPr>
      </w:pPr>
      <w:r w:rsidRPr="00870AD3">
        <w:rPr>
          <w:b w:val="0"/>
          <w:sz w:val="22"/>
          <w:szCs w:val="22"/>
        </w:rPr>
        <w:t>к Оферте</w:t>
      </w:r>
    </w:p>
    <w:p w:rsidR="00870AD3" w:rsidRDefault="00870AD3" w:rsidP="00870AD3">
      <w:pPr>
        <w:pStyle w:val="1b"/>
        <w:jc w:val="left"/>
        <w:rPr>
          <w:sz w:val="22"/>
          <w:szCs w:val="22"/>
        </w:rPr>
      </w:pPr>
    </w:p>
    <w:p w:rsidR="00870AD3" w:rsidRDefault="00870AD3">
      <w:pPr>
        <w:pStyle w:val="1b"/>
        <w:rPr>
          <w:sz w:val="22"/>
          <w:szCs w:val="22"/>
        </w:rPr>
      </w:pPr>
    </w:p>
    <w:p w:rsidR="00C21302" w:rsidRDefault="00A57F27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21302" w:rsidRDefault="00A57F27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21302" w:rsidRDefault="00C21302">
      <w:pPr>
        <w:pStyle w:val="1b"/>
        <w:rPr>
          <w:b w:val="0"/>
          <w:bCs w:val="0"/>
          <w:spacing w:val="30"/>
          <w:sz w:val="22"/>
          <w:szCs w:val="22"/>
        </w:rPr>
      </w:pPr>
    </w:p>
    <w:p w:rsidR="00C21302" w:rsidRDefault="00A57F27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 xml:space="preserve">, действующей на основании </w:t>
      </w:r>
      <w:r w:rsidR="00870AD3">
        <w:rPr>
          <w:sz w:val="22"/>
          <w:szCs w:val="22"/>
        </w:rPr>
        <w:t>Доверенности от 01.01.2026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21302" w:rsidRDefault="00C21302">
      <w:pPr>
        <w:ind w:right="-57" w:firstLine="567"/>
        <w:jc w:val="both"/>
        <w:rPr>
          <w:sz w:val="22"/>
          <w:szCs w:val="22"/>
        </w:rPr>
      </w:pPr>
    </w:p>
    <w:p w:rsidR="00C21302" w:rsidRDefault="00A57F27">
      <w:pPr>
        <w:spacing w:line="276" w:lineRule="auto"/>
        <w:ind w:right="-57" w:firstLine="567"/>
        <w:jc w:val="both"/>
        <w:rPr>
          <w:sz w:val="22"/>
        </w:rPr>
      </w:pPr>
      <w:r>
        <w:rPr>
          <w:sz w:val="22"/>
        </w:rPr>
        <w:t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с возможностью повышения («голландский аукцион») по продаже единым лотом объектов недвижимости (далее – Имущество):</w:t>
      </w:r>
    </w:p>
    <w:p w:rsidR="00870AD3" w:rsidRDefault="00A57F27" w:rsidP="00870AD3">
      <w:pPr>
        <w:ind w:firstLine="567"/>
        <w:jc w:val="both"/>
      </w:pPr>
      <w:r>
        <w:rPr>
          <w:sz w:val="22"/>
        </w:rPr>
        <w:t xml:space="preserve">1.1. </w:t>
      </w:r>
      <w:r w:rsidR="00870AD3">
        <w:rPr>
          <w:rFonts w:eastAsia="SimSun;宋体"/>
          <w:lang w:eastAsia="hi-IN"/>
        </w:rPr>
        <w:t>Земельный участок по адресу:</w:t>
      </w:r>
      <w:r w:rsidR="00870AD3">
        <w:t xml:space="preserve"> Краснодарский край, Темрюкский район</w:t>
      </w:r>
      <w:r w:rsidR="00870AD3">
        <w:rPr>
          <w:rFonts w:eastAsia="SimSun;宋体"/>
          <w:lang w:eastAsia="hi-IN"/>
        </w:rPr>
        <w:t xml:space="preserve">, площадью </w:t>
      </w:r>
      <w:r w:rsidR="00870AD3">
        <w:t>646 508 +/- 281 кв.м., кадастровый № 23:30:0000000:4160, категория земель: Земли населенных пунктов, виды разрешенного использования: для сельскохозяйственного производства.</w:t>
      </w:r>
    </w:p>
    <w:p w:rsidR="00870AD3" w:rsidRDefault="00870AD3" w:rsidP="00870AD3">
      <w:pPr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Земельный участок полностью расположен в границах зоны с реестровым номером 23:30-6.1846 от 29.04.2023, ограничение использования земельного участка в пределах зоны: На территории третьей зоны вводятся ограничения на размещение промышленных и сельскохозяйственных объектов и сооружений, а также на осуществление хозяйственной деятельности, сопровождающейся загрязнением окружающей среды, природных лечебных ресурсов и их истощением, в том числе: устройство хранилищ и захоронений химических и радиоактивных веществ, а также вредных промышленных отходов; строительство промышленных предприятий, объектов и сооружений и выполнение работ, которые могут оказать неблагоприятное влияние на природные факторы курортов., вид/наименование: Третья зона горно санитарной охраны. Участок 1 - для охраны береговой полосы Азовского моря, а также Динского и Таманского заливов Черного моря, тип: Санитарный разрыв (санитарная полоса отчуждения), индекс: Краснодарский край, Темрюкский район, номер: 3, решения: 1. дата решения: 24.12.2012, номер решения: 1597, наименование ОГВ/ОМСУ: Глава администрации (губернатор) Краснодарского края  2. дата решения: 23.08.2016, номер решения: 636, наименование ОГВ/ОМСУ: Глава администрации (губернатор) Краснодарского края.</w:t>
      </w:r>
    </w:p>
    <w:p w:rsidR="00870AD3" w:rsidRDefault="00870AD3" w:rsidP="00870AD3">
      <w:pPr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 xml:space="preserve">Обременения (ограничения) согласно выписке из ЕГРН от 08.12.2025: </w:t>
      </w:r>
    </w:p>
    <w:p w:rsidR="00870AD3" w:rsidRDefault="00870AD3" w:rsidP="00870AD3">
      <w:pPr>
        <w:jc w:val="both"/>
        <w:rPr>
          <w:rFonts w:hint="eastAsia"/>
        </w:rPr>
      </w:pPr>
      <w:r>
        <w:rPr>
          <w:rFonts w:eastAsia="SimSun;宋体"/>
          <w:lang w:eastAsia="hi-IN"/>
        </w:rPr>
        <w:tab/>
      </w:r>
      <w: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</w:t>
      </w:r>
    </w:p>
    <w:p w:rsidR="00870AD3" w:rsidRDefault="00870AD3" w:rsidP="00870AD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c 27.04.2023; реквизиты документа-основания: постановление главы администрации (губернатора) Краснодарского края "Об утверждении границ и режима округа горно-санитарной охраны курортов местного значения Темрюкского района в Краснодарском крае" от 24.12.2012 № 1597 выдан: Глава администрации (губернатор) Краснодарского края ; постановление главы администрации (губернатора) Краснодарского края "О внесении изменений в постановление главы администрации (губернатора) Краснодарского края от 24 декабря 2012 года №1594 "Об утверждении границ и режима округа горно-санитарной охраны курортов местного значения Темрюкского района в Краснодарском крае" от 23.08.2016 № 636 выдан: Глава администрации (губернатор) Краснодарского края.  </w:t>
      </w:r>
      <w:r>
        <w:rPr>
          <w:sz w:val="20"/>
          <w:szCs w:val="20"/>
        </w:rPr>
        <w:tab/>
        <w:t>ограничения прав на земельный участок, предусмотренные статьей 56 Земельного кодекса Российской Федерации; срок действия: c 18.01.2024; реквизиты документа-основания: постановление главы администрации (губернатора) Краснодарского края "Об утверждении границ и</w:t>
      </w:r>
      <w:r>
        <w:rPr>
          <w:sz w:val="20"/>
          <w:szCs w:val="20"/>
          <w:lang w:eastAsia="hi-IN"/>
        </w:rPr>
        <w:t xml:space="preserve"> </w:t>
      </w:r>
      <w:r>
        <w:rPr>
          <w:sz w:val="20"/>
          <w:szCs w:val="20"/>
        </w:rPr>
        <w:t xml:space="preserve">режима округа горно-санитарной охраны курортов местного значения Темрюкского района в Краснодарском крае" от 24.12.2012 № 1597 выдан: Глава администрации (губернатор) Краснодарского края ; постановление главы администрации (губернатора) Краснодарского края "О внесении изменений в постановление главы администрации (губернатора) Краснодарского края от 24 декабря 2012 года №1594 "Об утверждении границ и режима округа горно-санитарной охраны курортов местного значения Темрюкского района в Краснодарском крае" от 23.08.2016 № 636 выдан: Глава администрации (губернатор) Краснодарского края. </w:t>
      </w:r>
      <w:r>
        <w:rPr>
          <w:sz w:val="20"/>
          <w:szCs w:val="20"/>
        </w:rPr>
        <w:tab/>
        <w:t xml:space="preserve">ограничения прав на земельный участок, предусмотренные статьей 56 Земельного кодекса Российской Федерации; срок действия: c 25.02.2024; реквизиты документа-основания: постановление «Об утверждении границ и режима округа горно-санитарной охраны курортов местного значения Темрюкского района в Краснодарском крае»  от 24.12.2012 № 1597 выдан: Глава администрации (губернатор) Краснодарского края; постановление «О внесении изменений в постановление глава администрации (губернатора) Краснодарского края от 24 декабря 2012 года № 1597 «Об утверждении границ и режима округа горно-санитарной охраны </w:t>
      </w:r>
      <w:r>
        <w:rPr>
          <w:sz w:val="20"/>
          <w:szCs w:val="20"/>
        </w:rPr>
        <w:lastRenderedPageBreak/>
        <w:t xml:space="preserve">курортов местного значения Темрюкского района в Краснодарском крае» от 23.08.2016 № 636 выдан: Глава администрации (губернатор) Краснодарского края. </w:t>
      </w:r>
    </w:p>
    <w:p w:rsidR="00870AD3" w:rsidRDefault="00870AD3" w:rsidP="00870AD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c 23.07.2025; реквизиты документа-основания: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РФ; распоряжение "Об установлении местоположения части береговой линии (границы водного объекта), части границ водоохранной зоны и части границ прибрежной защитной полосы Азовского моря на территории Краснодарского края от 06.09.2018 № 204-р выдан: Федеральное агенство водных ресурсов; государственный контракт на информационное обеспечение и другие работы в области водных ресурсов для федеральных Государственных нужд от 06.07.2018 № 12К/2018 выдан: Федеральное государственное бюджетное учреждение "Российский информационно-аналитический и научно-исследовательский водохозяйственный центр"; приказ "Об уточнении местоположения береговой линии (границы водного объекта), границ водоохранной зоны и прибрежной защитной полосы Азовского моря на территории Краснодарского края от 25.04.2025 № 66 выдан: Федеральное агентство водных ресурсов Кубанское бассейновое водное управление (Кубанское БВУ). </w:t>
      </w:r>
    </w:p>
    <w:p w:rsidR="00C21302" w:rsidRDefault="00870AD3" w:rsidP="00870AD3">
      <w:pPr>
        <w:spacing w:line="276" w:lineRule="auto"/>
        <w:ind w:right="-57" w:firstLine="540"/>
        <w:rPr>
          <w:sz w:val="22"/>
        </w:rPr>
      </w:pPr>
      <w:r>
        <w:rPr>
          <w:sz w:val="20"/>
          <w:szCs w:val="20"/>
        </w:rPr>
        <w:t>ограничения прав на земельный участок, предусмотренные статьей 56 Земельного кодекса Российской Федерации; срок действия: c</w:t>
      </w:r>
      <w:r>
        <w:rPr>
          <w:sz w:val="20"/>
          <w:szCs w:val="20"/>
          <w:lang w:eastAsia="hi-IN"/>
        </w:rPr>
        <w:t xml:space="preserve"> </w:t>
      </w:r>
      <w:r>
        <w:rPr>
          <w:sz w:val="20"/>
          <w:szCs w:val="20"/>
        </w:rPr>
        <w:t>05.11.2025; реквизиты документа-основания: распоряжение "Об установлении местоположения части береговой линии (границы водного объекта), части границ водоохранной зоны и части границ прибрежной защитной полосы Азовского моря на территории Краснодарского края от 06.09.2018 № 204-р выдан: Федеральное агенство водных ресурсов;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РФ; государственный контракт на информационное обеспечение и другие работы в области водных ресурсов для федеральных Государственных нужд от 06.07.2018 № 12К/2018 выдан: Федеральное государственное бюджетное учреждение "Российский информационно-аналитический и научно-исследовательский водохозяйственный центр"; приказ "Об уточнении местоположения береговой линии (границы водного объекта), границ водоохранной зоны и прибрежной защитной полосы Азовского моря на территории Краснодарского края от 25.04.2025 № 66 выдан: Федеральное агентство водных ресурсов Кубанское бассейновое водное управление (Кубанское БВУ)</w:t>
      </w:r>
      <w:r>
        <w:rPr>
          <w:sz w:val="22"/>
        </w:rPr>
        <w:t>.</w:t>
      </w:r>
      <w:bookmarkStart w:id="0" w:name="_GoBack"/>
      <w:bookmarkEnd w:id="0"/>
    </w:p>
    <w:p w:rsidR="00C21302" w:rsidRDefault="00C21302">
      <w:pPr>
        <w:tabs>
          <w:tab w:val="left" w:pos="284"/>
        </w:tabs>
        <w:ind w:right="-57" w:firstLine="567"/>
        <w:jc w:val="both"/>
        <w:rPr>
          <w:sz w:val="22"/>
          <w:szCs w:val="22"/>
        </w:rPr>
      </w:pPr>
    </w:p>
    <w:p w:rsidR="00C21302" w:rsidRDefault="00A57F27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 xml:space="preserve">размере 30 000 000 (тридцать миллионов)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21302" w:rsidRDefault="00A57F27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оплаты цены Имущества, внесенный победителем торгов/единственным участником торгов задаток ему не возвращается.  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21302" w:rsidRDefault="00C21302">
      <w:pPr>
        <w:ind w:firstLine="567"/>
        <w:jc w:val="both"/>
        <w:rPr>
          <w:sz w:val="22"/>
          <w:szCs w:val="22"/>
        </w:rPr>
      </w:pPr>
    </w:p>
    <w:p w:rsidR="00C21302" w:rsidRDefault="00A57F27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21302" w:rsidRDefault="00C21302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21302">
        <w:trPr>
          <w:trHeight w:val="3059"/>
        </w:trPr>
        <w:tc>
          <w:tcPr>
            <w:tcW w:w="4928" w:type="dxa"/>
          </w:tcPr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21302" w:rsidRDefault="00C21302">
            <w:pPr>
              <w:rPr>
                <w:b/>
                <w:sz w:val="22"/>
                <w:szCs w:val="22"/>
              </w:rPr>
            </w:pPr>
          </w:p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21302" w:rsidRDefault="00C21302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21302" w:rsidRDefault="00C21302">
            <w:pPr>
              <w:jc w:val="both"/>
              <w:rPr>
                <w:sz w:val="22"/>
                <w:szCs w:val="22"/>
              </w:rPr>
            </w:pPr>
          </w:p>
        </w:tc>
      </w:tr>
    </w:tbl>
    <w:p w:rsidR="00C21302" w:rsidRDefault="00A57F27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21302" w:rsidRDefault="00A57F27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21302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FD6" w:rsidRDefault="00193FD6">
      <w:r>
        <w:separator/>
      </w:r>
    </w:p>
  </w:endnote>
  <w:endnote w:type="continuationSeparator" w:id="0">
    <w:p w:rsidR="00193FD6" w:rsidRDefault="0019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FD6" w:rsidRDefault="00193FD6">
      <w:r>
        <w:separator/>
      </w:r>
    </w:p>
  </w:footnote>
  <w:footnote w:type="continuationSeparator" w:id="0">
    <w:p w:rsidR="00193FD6" w:rsidRDefault="0019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1500"/>
    <w:multiLevelType w:val="multilevel"/>
    <w:tmpl w:val="CB5286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304BF"/>
    <w:multiLevelType w:val="multilevel"/>
    <w:tmpl w:val="82CEBCB8"/>
    <w:lvl w:ilvl="0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51645B"/>
    <w:multiLevelType w:val="multilevel"/>
    <w:tmpl w:val="89502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779BE"/>
    <w:multiLevelType w:val="multilevel"/>
    <w:tmpl w:val="8604B52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4" w15:restartNumberingAfterBreak="0">
    <w:nsid w:val="74471924"/>
    <w:multiLevelType w:val="multilevel"/>
    <w:tmpl w:val="73921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E3D01"/>
    <w:multiLevelType w:val="multilevel"/>
    <w:tmpl w:val="0EDC9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302"/>
    <w:rsid w:val="00124176"/>
    <w:rsid w:val="00193FD6"/>
    <w:rsid w:val="00870AD3"/>
    <w:rsid w:val="00A57F27"/>
    <w:rsid w:val="00C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62090-C52A-4ADD-9BB3-E577024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  <w:rPr>
      <w:lang w:eastAsia="zh-CN"/>
    </w:rPr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e"/>
    <w:next w:val="1e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1936</Words>
  <Characters>11038</Characters>
  <Application>Microsoft Office Word</Application>
  <DocSecurity>0</DocSecurity>
  <Lines>91</Lines>
  <Paragraphs>25</Paragraphs>
  <ScaleCrop>false</ScaleCrop>
  <Company/>
  <LinksUpToDate>false</LinksUpToDate>
  <CharactersWithSpaces>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33</cp:revision>
  <dcterms:created xsi:type="dcterms:W3CDTF">2024-04-02T10:41:00Z</dcterms:created>
  <dcterms:modified xsi:type="dcterms:W3CDTF">2026-01-22T11:01:00Z</dcterms:modified>
  <cp:version>1048576</cp:version>
</cp:coreProperties>
</file>