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Голина (ранее Куликова) Ирина Владимировна (дата рождения: 23.08.1977 г., место рождения: г. Новокуйбышевск Куйбышевская обл., СНИЛС 056-830-290 68, ИНН 633010859000, регистрация по месту жительства: г. Новокуйбышевск Куйбышевская обл.) в лице  в лице финансового управляющего: Кириллов Артём Григорьевич, действует на основании решения Арбитражный суд Самарской области от 29.05.2024г.  по делу №А55-9991/2024,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1\2 на квартиру общей площадью 43.60 кв.м., расположенной по адресу: Самарская область, г. Новокуйбышевск, ул. Чернышевского, д. 20, кв. 49. Этаж: 1. Кадастровый номер: 63:04:0202058:1190.Номер государственной регистрации: 63:04:0202058:1190-63/090/2021-2.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Голина (ранее Куликова) Ирина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23.08.1977</w:t>
              <w:br/>
              <w:t>Место рождения: г. Новокуйбышевск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ул. Егорова, д. 16, кв.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056-830-290 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633010859000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Голина Ирина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40817810450176914983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Голина (ранее Куликова) Ирина Владимировна (дата рождения: 23.08.1977 г., место рождения: г. Новокуйбышевск Куйбышевская обл., СНИЛС 056-830-290 68, ИНН 633010859000, регистрация по месту жительства: г. Новокуйбышевск Куйбышевская обл.) в лице  в лице финансового управляющего: Кириллов Артём Григорьевич, действует на основании решения Арбитражный суд Самарской области от 29.05.2024г.  по делу №А55-9991/2024,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1\2 на квартиру общей площадью 43.60 кв.м., расположенной по адресу: Самарская область, г. Новокуйбышевск, ул. Чернышевского, д. 20, кв. 49. Этаж: 1. Кадастровый номер: 63:04:0202058:1190.Номер государственной регистрации: 63:04:0202058:1190-63/090/2021-2.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Голина (ранее Куликова) Ирина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23.08.1977</w:t>
              <w:br/>
              <w:t>Место рождения: г. Новокуйбышевск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ул. Егорова, д. 16, кв.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056-830-290 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633010859000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LibreOffice/25.2.5.2$Windows_X86_64 LibreOffice_project/03d19516eb2e1dd5d4ccd751a0d6f35f35e08022</Application>
  <AppVersion>15.0000</AppVersion>
  <Pages>4</Pages>
  <Words>1097</Words>
  <Characters>7815</Characters>
  <CharactersWithSpaces>8822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2025-10-01T16:31:41Z</dcterms:modified>
  <cp:revision>34</cp:revision>
  <dc:subject/>
  <dc:title/>
</cp:coreProperties>
</file>