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1\2 на квартиру общей площадью 43.60 кв.м., расположенной по адресу: Самарская область, г. Новокуйбышевск, ул. Чернышевского, д. 20, кв. 49. Этаж: 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Голина (ранее Куликова) Ирина Владимировна (дата рождения: 23.08.1977 г., место рождения: г. Новокуйбышевск Куйбышевская обл., СНИЛС 056-830-290 68, ИНН 633010859000, регистрация по месту жительства: 446205, Самарская обл., г. Новокуйбышевск, ул. Егорова, д. 16, кв. 44)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1\2 на квартиру общей площадью 43.60 кв.м., расположенной по адресу: Самарская область, г. Новокуйбышевск, ул. Чернышевского, д. 20, кв. 49. Этаж: 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