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B23F0" w14:textId="77777777" w:rsidR="008B12E9" w:rsidRDefault="008B12E9">
      <w:pPr>
        <w:pStyle w:val="1b"/>
        <w:rPr>
          <w:sz w:val="22"/>
          <w:szCs w:val="22"/>
        </w:rPr>
      </w:pPr>
    </w:p>
    <w:p w14:paraId="69DE5C7E" w14:textId="77777777" w:rsidR="008B12E9" w:rsidRDefault="00A5326E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128F315B" w14:textId="77777777" w:rsidR="008B12E9" w:rsidRDefault="00A5326E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1A6532E6" w14:textId="77777777" w:rsidR="008B12E9" w:rsidRDefault="008B12E9">
      <w:pPr>
        <w:pStyle w:val="1b"/>
        <w:rPr>
          <w:b w:val="0"/>
          <w:bCs w:val="0"/>
          <w:spacing w:val="30"/>
          <w:sz w:val="22"/>
          <w:szCs w:val="22"/>
        </w:rPr>
      </w:pPr>
    </w:p>
    <w:p w14:paraId="375E55EE" w14:textId="77777777" w:rsidR="008B12E9" w:rsidRDefault="00A5326E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</w:t>
      </w:r>
      <w:r>
        <w:rPr>
          <w:sz w:val="22"/>
          <w:szCs w:val="22"/>
        </w:rPr>
        <w:t>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9136407" w14:textId="77777777" w:rsidR="008B12E9" w:rsidRDefault="008B12E9">
      <w:pPr>
        <w:ind w:right="-57" w:firstLine="567"/>
        <w:jc w:val="both"/>
        <w:rPr>
          <w:sz w:val="22"/>
          <w:szCs w:val="22"/>
        </w:rPr>
      </w:pPr>
    </w:p>
    <w:p w14:paraId="37F12ED8" w14:textId="77777777" w:rsidR="008B12E9" w:rsidRDefault="00A5326E">
      <w:pPr>
        <w:pStyle w:val="a8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</w:t>
      </w:r>
      <w:r>
        <w:rPr>
          <w:sz w:val="22"/>
          <w:szCs w:val="22"/>
        </w:rPr>
        <w:t xml:space="preserve">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14:paraId="36058132" w14:textId="77777777" w:rsidR="00893AEA" w:rsidRDefault="00A5326E" w:rsidP="00893AEA">
      <w:pPr>
        <w:spacing w:line="276" w:lineRule="auto"/>
        <w:ind w:right="-57" w:firstLine="540"/>
        <w:rPr>
          <w:sz w:val="22"/>
        </w:rPr>
      </w:pPr>
      <w:r>
        <w:rPr>
          <w:sz w:val="22"/>
          <w:szCs w:val="22"/>
        </w:rPr>
        <w:t xml:space="preserve">1.1. </w:t>
      </w:r>
      <w:r w:rsidR="00893AEA">
        <w:rPr>
          <w:sz w:val="22"/>
        </w:rPr>
        <w:t>Земельный участок площадью 5246 +/- 25 кв. м, категория земель: Земли населенных пунктов, виды разрешенного использования: Здравоохранение, кадастровый номер 47:07:1006001:4035, адрес: Российская Федерация, Ленинградская область, Всеволожский муниципальный район, Заневское городское поселение, город Кудрово, улица Центральная, з/у 5а.</w:t>
      </w:r>
    </w:p>
    <w:p w14:paraId="0C3A38C1" w14:textId="77777777" w:rsidR="00893AEA" w:rsidRDefault="00893AEA" w:rsidP="00893AEA">
      <w:pPr>
        <w:spacing w:line="276" w:lineRule="auto"/>
        <w:ind w:right="-57" w:firstLine="540"/>
        <w:rPr>
          <w:sz w:val="22"/>
        </w:rPr>
      </w:pPr>
      <w:r>
        <w:rPr>
          <w:sz w:val="22"/>
        </w:rPr>
        <w:t xml:space="preserve">Обременения (ограничения): в соответствии с выпиской из ЕГРН от 18.12.2025: </w:t>
      </w:r>
    </w:p>
    <w:p w14:paraId="309FF292" w14:textId="77777777" w:rsidR="00893AEA" w:rsidRDefault="00893AEA" w:rsidP="00893AEA">
      <w:pPr>
        <w:spacing w:line="276" w:lineRule="auto"/>
        <w:ind w:right="-57" w:firstLine="540"/>
        <w:rPr>
          <w:sz w:val="22"/>
        </w:rPr>
      </w:pPr>
      <w:r>
        <w:rPr>
          <w:sz w:val="22"/>
        </w:rPr>
        <w:t>Частный сервитут в пользу Афонина Н.А. сроком действия 49 лет с 30.03.2023 на основании Решения Всеволожского городского суда Ленинградской области по делу № 2-4186/2020, № 2-1070/23 от 30.03.2023.</w:t>
      </w:r>
    </w:p>
    <w:p w14:paraId="51AC79E1" w14:textId="72006493" w:rsidR="008B12E9" w:rsidRDefault="00893AEA" w:rsidP="00893AEA">
      <w:pPr>
        <w:spacing w:line="276" w:lineRule="auto"/>
        <w:ind w:right="-57" w:firstLine="708"/>
        <w:rPr>
          <w:sz w:val="22"/>
          <w:szCs w:val="22"/>
        </w:rPr>
      </w:pPr>
      <w:r>
        <w:rPr>
          <w:sz w:val="22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21.03.2023.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21.03.2023.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05.12.2025; реквизиты документа-основания: распоряжение "Об определении местоположения береговых линий (границ водных объектов), установлении границ водоохранных зон, прибрежных защитных полос некоторых водных объектов на территории Ленинградской области" от 20.12.2024 № 4096 выдан: Комитет по природным ресурсам Ленинградской области</w:t>
      </w:r>
      <w:r w:rsidR="00A5326E">
        <w:rPr>
          <w:sz w:val="22"/>
          <w:szCs w:val="22"/>
        </w:rPr>
        <w:t>.</w:t>
      </w:r>
    </w:p>
    <w:p w14:paraId="35749DEE" w14:textId="77777777" w:rsidR="008B12E9" w:rsidRDefault="00A5326E">
      <w:pPr>
        <w:spacing w:line="276" w:lineRule="auto"/>
        <w:ind w:right="-57" w:firstLine="708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.2. Нежилое здание по адресу: Российская Федерация, Ленинградская область, Всеволожский муниципальный район, Заневское городское поселение, город Кудрово, у</w:t>
      </w:r>
      <w:r>
        <w:rPr>
          <w:sz w:val="22"/>
          <w:szCs w:val="22"/>
        </w:rPr>
        <w:t>лица Центральная, здание 5а, кадастровый № 47:07:1006001:4339, площадью 7329.3 кв.м., количество этажей: 5, в том числе подземных 1, наименование: Взрослая поликлиника со встроенным подземным паркингом.</w:t>
      </w:r>
    </w:p>
    <w:p w14:paraId="55DB8B20" w14:textId="141F5ADC" w:rsidR="008B12E9" w:rsidRDefault="00A5326E">
      <w:pPr>
        <w:tabs>
          <w:tab w:val="left" w:pos="1134"/>
        </w:tabs>
        <w:spacing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Обременения (ограничения): в соответствии с выпиской </w:t>
      </w:r>
      <w:r>
        <w:rPr>
          <w:sz w:val="22"/>
          <w:szCs w:val="22"/>
        </w:rPr>
        <w:t xml:space="preserve">из ЕГРН от </w:t>
      </w:r>
      <w:r w:rsidR="00893AEA">
        <w:rPr>
          <w:sz w:val="22"/>
          <w:szCs w:val="22"/>
        </w:rPr>
        <w:t>18.12</w:t>
      </w:r>
      <w:bookmarkStart w:id="0" w:name="_GoBack"/>
      <w:bookmarkEnd w:id="0"/>
      <w:r>
        <w:rPr>
          <w:sz w:val="22"/>
          <w:szCs w:val="22"/>
        </w:rPr>
        <w:t xml:space="preserve">.2025 не зарегистрированы, </w:t>
      </w:r>
    </w:p>
    <w:p w14:paraId="62753865" w14:textId="77777777" w:rsidR="008B12E9" w:rsidRDefault="00A5326E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>10 000 000 (Десять миллионов) рублей 00 коп</w:t>
      </w:r>
      <w:r>
        <w:rPr>
          <w:sz w:val="22"/>
          <w:szCs w:val="22"/>
        </w:rPr>
        <w:t xml:space="preserve"> 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14:paraId="46015880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</w:t>
      </w:r>
      <w:r>
        <w:rPr>
          <w:b/>
          <w:bCs/>
          <w:sz w:val="22"/>
          <w:szCs w:val="22"/>
        </w:rPr>
        <w:t>783801001):</w:t>
      </w:r>
    </w:p>
    <w:p w14:paraId="3CAD1039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56543FDC" w14:textId="77777777" w:rsidR="008B12E9" w:rsidRDefault="00A5326E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7922BD00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44B9A049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</w:t>
      </w:r>
      <w:r>
        <w:rPr>
          <w:sz w:val="22"/>
          <w:szCs w:val="22"/>
        </w:rPr>
        <w:t xml:space="preserve">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</w:t>
      </w:r>
      <w:r>
        <w:rPr>
          <w:sz w:val="22"/>
          <w:szCs w:val="22"/>
        </w:rPr>
        <w:t>ой об исполнении при этом во внимание Организатором торгов не принимается.</w:t>
      </w:r>
    </w:p>
    <w:p w14:paraId="2046F0F4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</w:t>
      </w:r>
      <w:r>
        <w:rPr>
          <w:sz w:val="22"/>
          <w:szCs w:val="22"/>
        </w:rPr>
        <w:t xml:space="preserve">ания настоящего Договора электронной подписью Претендента (в этом случае перечисление задатка </w:t>
      </w:r>
      <w:r>
        <w:rPr>
          <w:sz w:val="22"/>
          <w:szCs w:val="22"/>
        </w:rPr>
        <w:lastRenderedPageBreak/>
        <w:t>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C9691B6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 Задаток служит обеспе</w:t>
      </w:r>
      <w:r>
        <w:rPr>
          <w:sz w:val="22"/>
          <w:szCs w:val="22"/>
        </w:rPr>
        <w:t xml:space="preserve">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</w:t>
      </w:r>
      <w:r>
        <w:rPr>
          <w:sz w:val="22"/>
          <w:szCs w:val="22"/>
        </w:rPr>
        <w:t>ли иное не предусмотрено в информационном сообщении о проведении торгов.</w:t>
      </w:r>
    </w:p>
    <w:p w14:paraId="1760E17D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</w:t>
      </w:r>
      <w:r>
        <w:rPr>
          <w:sz w:val="22"/>
          <w:szCs w:val="22"/>
        </w:rPr>
        <w:t>х. НДС не облагается».</w:t>
      </w:r>
      <w:bookmarkEnd w:id="1"/>
    </w:p>
    <w:p w14:paraId="7AB7413D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34EB047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</w:t>
      </w:r>
      <w:r>
        <w:rPr>
          <w:sz w:val="22"/>
          <w:szCs w:val="22"/>
        </w:rPr>
        <w:t>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</w:t>
      </w:r>
      <w:r>
        <w:rPr>
          <w:sz w:val="22"/>
          <w:szCs w:val="22"/>
        </w:rPr>
        <w:t>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5CCD7C04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</w:t>
      </w:r>
      <w:r>
        <w:rPr>
          <w:sz w:val="22"/>
          <w:szCs w:val="22"/>
        </w:rPr>
        <w:t>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</w:t>
      </w:r>
      <w:r>
        <w:rPr>
          <w:sz w:val="22"/>
          <w:szCs w:val="22"/>
        </w:rPr>
        <w:t>ненными.</w:t>
      </w:r>
    </w:p>
    <w:p w14:paraId="521B98B1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</w:t>
      </w:r>
      <w:r>
        <w:rPr>
          <w:sz w:val="22"/>
          <w:szCs w:val="22"/>
        </w:rPr>
        <w:t xml:space="preserve">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14:paraId="07BDA615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</w:t>
      </w:r>
      <w:r>
        <w:rPr>
          <w:sz w:val="22"/>
          <w:szCs w:val="22"/>
        </w:rPr>
        <w:t>ажи.</w:t>
      </w:r>
    </w:p>
    <w:p w14:paraId="119916B3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оплаты цены Имущества, внесенный победителем торгов/единственным участником торгов задаток ему не возвращается.  </w:t>
      </w:r>
    </w:p>
    <w:p w14:paraId="390884CE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</w:t>
      </w:r>
      <w:r>
        <w:rPr>
          <w:sz w:val="22"/>
          <w:szCs w:val="22"/>
        </w:rPr>
        <w:t>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</w:t>
      </w:r>
      <w:r>
        <w:rPr>
          <w:sz w:val="22"/>
          <w:szCs w:val="22"/>
        </w:rPr>
        <w:t>икции в соответствии с их компетенцией по месту нахождения Оператора электронной площадки.</w:t>
      </w:r>
    </w:p>
    <w:p w14:paraId="16DB9A05" w14:textId="77777777" w:rsidR="008B12E9" w:rsidRDefault="00A5326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</w:t>
      </w:r>
      <w:r>
        <w:rPr>
          <w:sz w:val="22"/>
          <w:szCs w:val="22"/>
        </w:rPr>
        <w:t>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1B07ABA" w14:textId="77777777" w:rsidR="008B12E9" w:rsidRDefault="008B12E9">
      <w:pPr>
        <w:ind w:firstLine="567"/>
        <w:jc w:val="both"/>
        <w:rPr>
          <w:sz w:val="22"/>
          <w:szCs w:val="22"/>
        </w:rPr>
      </w:pPr>
    </w:p>
    <w:p w14:paraId="6A60DAEE" w14:textId="77777777" w:rsidR="008B12E9" w:rsidRDefault="00A5326E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</w:t>
      </w:r>
      <w:r>
        <w:rPr>
          <w:b/>
          <w:bCs/>
          <w:sz w:val="22"/>
          <w:szCs w:val="22"/>
        </w:rPr>
        <w:t>иты сторон:</w:t>
      </w:r>
    </w:p>
    <w:p w14:paraId="20BBC07F" w14:textId="77777777" w:rsidR="008B12E9" w:rsidRDefault="008B12E9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B12E9" w14:paraId="1CD6E794" w14:textId="77777777">
        <w:trPr>
          <w:trHeight w:val="3059"/>
        </w:trPr>
        <w:tc>
          <w:tcPr>
            <w:tcW w:w="4928" w:type="dxa"/>
          </w:tcPr>
          <w:p w14:paraId="5DD47F0F" w14:textId="77777777" w:rsidR="008B12E9" w:rsidRDefault="00A5326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3C1B41C2" w14:textId="77777777" w:rsidR="008B12E9" w:rsidRDefault="00A5326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7CB68B1C" w14:textId="77777777" w:rsidR="008B12E9" w:rsidRDefault="008B12E9">
            <w:pPr>
              <w:rPr>
                <w:b/>
                <w:sz w:val="22"/>
                <w:szCs w:val="22"/>
              </w:rPr>
            </w:pPr>
          </w:p>
          <w:p w14:paraId="0203B6FF" w14:textId="77777777" w:rsidR="008B12E9" w:rsidRDefault="00A53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639017FF" w14:textId="77777777" w:rsidR="008B12E9" w:rsidRDefault="00A53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29F576CB" w14:textId="77777777" w:rsidR="008B12E9" w:rsidRDefault="00A53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48DB1C77" w14:textId="77777777" w:rsidR="008B12E9" w:rsidRDefault="00A53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18DFEF74" w14:textId="77777777" w:rsidR="008B12E9" w:rsidRDefault="00A5326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61F1F008" w14:textId="77777777" w:rsidR="008B12E9" w:rsidRDefault="00A5326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19925A45" w14:textId="77777777" w:rsidR="008B12E9" w:rsidRDefault="00A5326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1E9DCA1B" w14:textId="77777777" w:rsidR="008B12E9" w:rsidRDefault="00A5326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265F3AC3" w14:textId="77777777" w:rsidR="008B12E9" w:rsidRDefault="00A5326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2E5E1339" w14:textId="77777777" w:rsidR="008B12E9" w:rsidRDefault="00A5326E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A143703" w14:textId="77777777" w:rsidR="008B12E9" w:rsidRDefault="008B12E9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248F6EF8" w14:textId="77777777" w:rsidR="008B12E9" w:rsidRDefault="00A532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2DA0E3C1" w14:textId="77777777" w:rsidR="008B12E9" w:rsidRDefault="00A5326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104E3DC8" w14:textId="77777777" w:rsidR="008B12E9" w:rsidRDefault="00A532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4A4CCE4" w14:textId="77777777" w:rsidR="008B12E9" w:rsidRDefault="00A532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6155193F" w14:textId="77777777" w:rsidR="008B12E9" w:rsidRDefault="00A532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18B67E99" w14:textId="77777777" w:rsidR="008B12E9" w:rsidRDefault="00A532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2C237EF6" w14:textId="77777777" w:rsidR="008B12E9" w:rsidRDefault="00A532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68CA72DD" w14:textId="77777777" w:rsidR="008B12E9" w:rsidRDefault="00A532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9A57DC6" w14:textId="77777777" w:rsidR="008B12E9" w:rsidRDefault="008B12E9">
            <w:pPr>
              <w:jc w:val="both"/>
              <w:rPr>
                <w:sz w:val="22"/>
                <w:szCs w:val="22"/>
              </w:rPr>
            </w:pPr>
          </w:p>
        </w:tc>
      </w:tr>
    </w:tbl>
    <w:p w14:paraId="7B7ED9A6" w14:textId="77777777" w:rsidR="008B12E9" w:rsidRDefault="00A5326E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4C70C10C" w14:textId="77777777" w:rsidR="008B12E9" w:rsidRDefault="00A5326E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B12E9">
      <w:pgSz w:w="11906" w:h="16838"/>
      <w:pgMar w:top="284" w:right="849" w:bottom="567" w:left="1276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7040E34" w16cex:dateUtc="2025-12-22T09:26:1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7040E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79BF9" w14:textId="77777777" w:rsidR="00A5326E" w:rsidRDefault="00A5326E">
      <w:r>
        <w:separator/>
      </w:r>
    </w:p>
  </w:endnote>
  <w:endnote w:type="continuationSeparator" w:id="0">
    <w:p w14:paraId="22694961" w14:textId="77777777" w:rsidR="00A5326E" w:rsidRDefault="00A5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F850B" w14:textId="77777777" w:rsidR="00A5326E" w:rsidRDefault="00A5326E">
      <w:r>
        <w:separator/>
      </w:r>
    </w:p>
  </w:footnote>
  <w:footnote w:type="continuationSeparator" w:id="0">
    <w:p w14:paraId="78820066" w14:textId="77777777" w:rsidR="00A5326E" w:rsidRDefault="00A5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C15EE5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E1A0471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multilevel"/>
    <w:tmpl w:val="6B94A452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493D"/>
    <w:multiLevelType w:val="multilevel"/>
    <w:tmpl w:val="6DD29F8C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63707B7D"/>
    <w:multiLevelType w:val="multilevel"/>
    <w:tmpl w:val="6302E20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8" w:hanging="1800"/>
      </w:pPr>
      <w:rPr>
        <w:rFonts w:hint="default"/>
      </w:rPr>
    </w:lvl>
  </w:abstractNum>
  <w:abstractNum w:abstractNumId="5" w15:restartNumberingAfterBreak="0">
    <w:nsid w:val="68EF6AE9"/>
    <w:multiLevelType w:val="multilevel"/>
    <w:tmpl w:val="8D4C3FCC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E9"/>
    <w:rsid w:val="00893AEA"/>
    <w:rsid w:val="008B12E9"/>
    <w:rsid w:val="00A5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1E22A-48F8-409B-B939-9B345AC9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  <w:rPr>
      <w:lang w:eastAsia="zh-CN"/>
    </w:rPr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e"/>
    <w:next w:val="1e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styleId="afff5">
    <w:name w:val="annotation text"/>
    <w:basedOn w:val="a"/>
    <w:link w:val="1f"/>
    <w:uiPriority w:val="99"/>
    <w:semiHidden/>
    <w:unhideWhenUsed/>
    <w:rPr>
      <w:sz w:val="20"/>
      <w:szCs w:val="20"/>
    </w:rPr>
  </w:style>
  <w:style w:type="character" w:customStyle="1" w:styleId="1f">
    <w:name w:val="Текст примечания Знак1"/>
    <w:link w:val="afff5"/>
    <w:uiPriority w:val="99"/>
    <w:semiHidden/>
    <w:rPr>
      <w:color w:val="000000"/>
      <w:lang w:eastAsia="zh-CN"/>
    </w:rPr>
  </w:style>
  <w:style w:type="character" w:styleId="afff6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34</cp:revision>
  <dcterms:created xsi:type="dcterms:W3CDTF">2024-04-02T10:41:00Z</dcterms:created>
  <dcterms:modified xsi:type="dcterms:W3CDTF">2025-12-22T11:08:00Z</dcterms:modified>
  <cp:version>1048576</cp:version>
</cp:coreProperties>
</file>