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160FCA">
        <w:rPr>
          <w:color w:val="auto"/>
          <w:szCs w:val="24"/>
        </w:rPr>
        <w:t>5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</w:t>
      </w:r>
      <w:proofErr w:type="spellStart"/>
      <w:r w:rsidR="003257C8" w:rsidRPr="001C77ED">
        <w:rPr>
          <w:bCs/>
        </w:rPr>
        <w:t>Новатэра</w:t>
      </w:r>
      <w:proofErr w:type="spellEnd"/>
      <w:r w:rsidR="0098544C" w:rsidRPr="00160FCA">
        <w:rPr>
          <w:bCs/>
        </w:rPr>
        <w:t>»</w:t>
      </w:r>
      <w:r w:rsidRPr="00812B8B">
        <w:rPr>
          <w:bCs/>
        </w:rPr>
        <w:t xml:space="preserve"> </w:t>
      </w:r>
      <w:r w:rsidR="003257C8" w:rsidRPr="001C77ED">
        <w:rPr>
          <w:bCs/>
        </w:rPr>
        <w:t>Ломакиной Татьяны Александровны, действующей на основании Решения Арбитражного суда города Москвы по делу № А40-265575/2020 от 20.04.2022 (резолютивная часть объявлена 15.04.2022</w:t>
      </w:r>
      <w:r w:rsidR="0098544C" w:rsidRPr="00160FCA">
        <w:rPr>
          <w:bCs/>
        </w:rPr>
        <w:t>)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</w:t>
      </w:r>
      <w:r w:rsidR="001C77ED">
        <w:rPr>
          <w:bCs/>
        </w:rPr>
        <w:t>«</w:t>
      </w:r>
      <w:r w:rsidR="00A32BDA" w:rsidRPr="00DE0159">
        <w:rPr>
          <w:bCs/>
        </w:rPr>
        <w:t>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3257C8">
        <w:rPr>
          <w:color w:val="auto"/>
          <w:szCs w:val="24"/>
        </w:rPr>
        <w:t>5</w:t>
      </w:r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3257C8">
        <w:rPr>
          <w:color w:val="auto"/>
          <w:szCs w:val="24"/>
        </w:rPr>
        <w:t>1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</w:t>
      </w:r>
      <w:r w:rsidR="00A2072D" w:rsidRPr="00A2072D">
        <w:rPr>
          <w:color w:val="auto"/>
          <w:szCs w:val="24"/>
        </w:rPr>
        <w:t xml:space="preserve"> </w:t>
      </w:r>
      <w:r w:rsidR="00A2072D">
        <w:rPr>
          <w:color w:val="auto"/>
          <w:szCs w:val="24"/>
        </w:rPr>
        <w:t>(</w:t>
      </w:r>
      <w:r w:rsidR="00A2072D" w:rsidRPr="00B13531">
        <w:rPr>
          <w:color w:val="auto"/>
          <w:szCs w:val="24"/>
        </w:rPr>
        <w:t>не обеспеченное залогом имущество</w:t>
      </w:r>
      <w:r w:rsidR="00A2072D">
        <w:rPr>
          <w:color w:val="auto"/>
          <w:szCs w:val="24"/>
        </w:rPr>
        <w:t>)</w:t>
      </w:r>
      <w:r w:rsidR="00F83ED9">
        <w:rPr>
          <w:color w:val="auto"/>
          <w:szCs w:val="24"/>
        </w:rPr>
        <w:t>, а именно:</w:t>
      </w:r>
    </w:p>
    <w:p w:rsidR="003257C8" w:rsidRPr="003257C8" w:rsidRDefault="003257C8" w:rsidP="003257C8">
      <w:pPr>
        <w:pBdr>
          <w:bottom w:val="single" w:sz="4" w:space="1" w:color="auto"/>
        </w:pBdr>
        <w:jc w:val="both"/>
        <w:rPr>
          <w:color w:val="auto"/>
          <w:szCs w:val="24"/>
        </w:rPr>
      </w:pPr>
      <w:r w:rsidRPr="00B13531">
        <w:rPr>
          <w:color w:val="auto"/>
          <w:szCs w:val="24"/>
        </w:rPr>
        <w:t>Лот №6: Экскаватор</w:t>
      </w:r>
      <w:r>
        <w:rPr>
          <w:color w:val="auto"/>
          <w:szCs w:val="24"/>
        </w:rPr>
        <w:t xml:space="preserve"> гусеничного VOLVO </w:t>
      </w:r>
      <w:r w:rsidRPr="00B13531">
        <w:rPr>
          <w:color w:val="auto"/>
          <w:szCs w:val="24"/>
        </w:rPr>
        <w:t>(</w:t>
      </w:r>
      <w:r>
        <w:rPr>
          <w:color w:val="auto"/>
          <w:szCs w:val="24"/>
        </w:rPr>
        <w:t>EC210 BNLC</w:t>
      </w:r>
      <w:r w:rsidRPr="00474E79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2010</w:t>
      </w:r>
      <w:r w:rsidRPr="00474E79">
        <w:rPr>
          <w:color w:val="auto"/>
          <w:szCs w:val="24"/>
        </w:rPr>
        <w:t xml:space="preserve"> </w:t>
      </w:r>
      <w:proofErr w:type="spellStart"/>
      <w:r w:rsidRPr="00474E79">
        <w:rPr>
          <w:color w:val="auto"/>
          <w:szCs w:val="24"/>
        </w:rPr>
        <w:t>г.в</w:t>
      </w:r>
      <w:proofErr w:type="spellEnd"/>
      <w:r w:rsidRPr="00474E79">
        <w:rPr>
          <w:color w:val="auto"/>
          <w:szCs w:val="24"/>
        </w:rPr>
        <w:t xml:space="preserve">., </w:t>
      </w:r>
      <w:r w:rsidRPr="003257C8">
        <w:rPr>
          <w:color w:val="auto"/>
          <w:szCs w:val="24"/>
        </w:rPr>
        <w:t>з</w:t>
      </w:r>
      <w:r>
        <w:rPr>
          <w:color w:val="auto"/>
          <w:szCs w:val="24"/>
        </w:rPr>
        <w:t>аводской номер машины EC210BNLC-U16444</w:t>
      </w:r>
      <w:r w:rsidRPr="003257C8">
        <w:rPr>
          <w:color w:val="auto"/>
          <w:szCs w:val="24"/>
        </w:rPr>
        <w:t xml:space="preserve">, цвет желтый, номер двигателя 01082131), начальная цена 1 706 000,00 рублей. </w:t>
      </w:r>
    </w:p>
    <w:p w:rsidR="003257C8" w:rsidRDefault="003257C8" w:rsidP="003257C8">
      <w:pPr>
        <w:pBdr>
          <w:bottom w:val="single" w:sz="4" w:space="1" w:color="auto"/>
        </w:pBdr>
        <w:jc w:val="both"/>
        <w:rPr>
          <w:color w:val="auto"/>
          <w:szCs w:val="24"/>
        </w:rPr>
      </w:pPr>
      <w:r w:rsidRPr="003257C8">
        <w:rPr>
          <w:color w:val="auto"/>
          <w:szCs w:val="24"/>
        </w:rPr>
        <w:t xml:space="preserve"> </w:t>
      </w:r>
    </w:p>
    <w:p w:rsidR="001B5E09" w:rsidRPr="00AF7D42" w:rsidRDefault="005754D4" w:rsidP="001B5E09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98544C" w:rsidRPr="0098544C">
        <w:rPr>
          <w:rFonts w:ascii="Times New Roman" w:hAnsi="Times New Roman"/>
        </w:rPr>
        <w:t xml:space="preserve">№ </w:t>
      </w:r>
      <w:r w:rsidR="00B13531" w:rsidRPr="00B13531">
        <w:rPr>
          <w:rFonts w:ascii="Times New Roman" w:hAnsi="Times New Roman"/>
        </w:rPr>
        <w:t>40702810025000004467</w:t>
      </w:r>
      <w:r w:rsidR="0098544C" w:rsidRPr="0098544C">
        <w:rPr>
          <w:rFonts w:ascii="Times New Roman" w:hAnsi="Times New Roman"/>
        </w:rPr>
        <w:t xml:space="preserve">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</w:t>
      </w:r>
      <w:r w:rsidRPr="00AF7D42">
        <w:rPr>
          <w:color w:val="auto"/>
          <w:szCs w:val="24"/>
        </w:rPr>
        <w:t>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</w:t>
      </w:r>
      <w:r w:rsidRPr="00AF7D42">
        <w:rPr>
          <w:color w:val="auto"/>
          <w:szCs w:val="24"/>
        </w:rPr>
        <w:lastRenderedPageBreak/>
        <w:t xml:space="preserve">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5754D4" w:rsidRPr="00AF7D42" w:rsidRDefault="005754D4" w:rsidP="005754D4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F621C4" w:rsidRPr="00DE0159" w:rsidRDefault="00F621C4" w:rsidP="00F621C4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B13531" w:rsidRPr="00A6106A" w:rsidRDefault="0098544C" w:rsidP="00B13531">
            <w:pPr>
              <w:rPr>
                <w:b/>
              </w:rPr>
            </w:pPr>
            <w:r>
              <w:t>Общества с ограниченной ответственностью «</w:t>
            </w:r>
            <w:proofErr w:type="spellStart"/>
            <w:r w:rsidR="00B13531" w:rsidRPr="00B13531">
              <w:t>Новатэра</w:t>
            </w:r>
            <w:proofErr w:type="spellEnd"/>
            <w:r w:rsidR="00B13531" w:rsidRPr="00B13531">
              <w:t>»</w:t>
            </w:r>
          </w:p>
          <w:p w:rsidR="00B13531" w:rsidRPr="00A6106A" w:rsidRDefault="00B13531" w:rsidP="00B13531"/>
          <w:p w:rsidR="00B13531" w:rsidRPr="00B43EB2" w:rsidRDefault="00B13531" w:rsidP="00B13531">
            <w:r w:rsidRPr="00B43EB2">
              <w:rPr>
                <w:b/>
              </w:rPr>
              <w:t>Юридический адрес:</w:t>
            </w:r>
            <w:r w:rsidRPr="00B43EB2">
              <w:t xml:space="preserve"> 117997, г. Москва, ул. Профсоюзная, 23</w:t>
            </w:r>
          </w:p>
          <w:p w:rsidR="00B13531" w:rsidRPr="00B43EB2" w:rsidRDefault="00B13531" w:rsidP="00B13531">
            <w:r w:rsidRPr="00B43EB2">
              <w:rPr>
                <w:b/>
              </w:rPr>
              <w:t>Почтовый адрес:</w:t>
            </w:r>
            <w:r w:rsidRPr="00B43EB2">
              <w:t xml:space="preserve"> 630005, г. Новосибирск, а/я 8</w:t>
            </w:r>
          </w:p>
          <w:p w:rsidR="00B13531" w:rsidRPr="00B43EB2" w:rsidRDefault="00B13531" w:rsidP="00B13531">
            <w:r w:rsidRPr="00B43EB2">
              <w:t xml:space="preserve">ОГРН: 1117746955424, ИНН: 7727766810, КПП: 772701001, </w:t>
            </w:r>
          </w:p>
          <w:p w:rsidR="00B13531" w:rsidRPr="00B43EB2" w:rsidRDefault="00B13531" w:rsidP="00B13531">
            <w:r w:rsidRPr="00B43EB2">
              <w:t xml:space="preserve">р/с </w:t>
            </w:r>
            <w:bookmarkStart w:id="0" w:name="_GoBack"/>
            <w:r w:rsidR="00A552EE" w:rsidRPr="00A552EE">
              <w:t>40702810025000004467</w:t>
            </w:r>
            <w:r w:rsidRPr="00B43EB2">
              <w:t xml:space="preserve">, </w:t>
            </w:r>
          </w:p>
          <w:bookmarkEnd w:id="0"/>
          <w:p w:rsidR="00B13531" w:rsidRPr="00B43EB2" w:rsidRDefault="00B13531" w:rsidP="00B13531">
            <w:r w:rsidRPr="00B43EB2">
              <w:t>банк Росбанк филиал Приволжье АО «</w:t>
            </w:r>
            <w:proofErr w:type="spellStart"/>
            <w:r w:rsidRPr="00B43EB2">
              <w:t>ТБанк</w:t>
            </w:r>
            <w:proofErr w:type="spellEnd"/>
            <w:r w:rsidRPr="00B43EB2">
              <w:t xml:space="preserve">», </w:t>
            </w:r>
          </w:p>
          <w:p w:rsidR="00B13531" w:rsidRPr="00A6106A" w:rsidRDefault="00B13531" w:rsidP="00B13531">
            <w:r w:rsidRPr="00B43EB2">
              <w:t>БИК 042202910, к/с № 30101810145372202910</w:t>
            </w:r>
          </w:p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>
            <w:r w:rsidRPr="00A6106A">
              <w:t>Конкурсный управляющий</w:t>
            </w:r>
          </w:p>
          <w:p w:rsidR="00B13531" w:rsidRPr="00A6106A" w:rsidRDefault="00B13531" w:rsidP="00B13531"/>
          <w:p w:rsidR="00B13531" w:rsidRPr="00A6106A" w:rsidRDefault="00B13531" w:rsidP="00B13531">
            <w:r w:rsidRPr="00A6106A">
              <w:t>________________ /</w:t>
            </w:r>
            <w:r w:rsidRPr="00B43EB2">
              <w:t>Ломакина Т.А</w:t>
            </w:r>
            <w:r>
              <w:t>.</w:t>
            </w:r>
            <w:r w:rsidRPr="00A6106A">
              <w:t>/</w:t>
            </w:r>
          </w:p>
          <w:p w:rsidR="00B13531" w:rsidRPr="00A6106A" w:rsidRDefault="00B13531" w:rsidP="00B13531">
            <w:r w:rsidRPr="00A6106A">
              <w:t>М.П.</w:t>
            </w:r>
          </w:p>
          <w:p w:rsidR="005754D4" w:rsidRPr="00AF7D42" w:rsidRDefault="005754D4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7B50"/>
    <w:rsid w:val="00091649"/>
    <w:rsid w:val="00095B0E"/>
    <w:rsid w:val="000979EF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C77ED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257C8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072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52EE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13531"/>
    <w:rsid w:val="00B25590"/>
    <w:rsid w:val="00B26AF1"/>
    <w:rsid w:val="00B473F0"/>
    <w:rsid w:val="00B50194"/>
    <w:rsid w:val="00B66110"/>
    <w:rsid w:val="00B70A86"/>
    <w:rsid w:val="00B71C40"/>
    <w:rsid w:val="00B73FE2"/>
    <w:rsid w:val="00B75F4F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276F-10DF-45AF-9BAB-59A175BE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36</cp:revision>
  <cp:lastPrinted>2016-04-20T05:26:00Z</cp:lastPrinted>
  <dcterms:created xsi:type="dcterms:W3CDTF">2018-03-02T03:13:00Z</dcterms:created>
  <dcterms:modified xsi:type="dcterms:W3CDTF">2025-10-27T08:23:00Z</dcterms:modified>
  <cp:contentStatus/>
</cp:coreProperties>
</file>