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6D200">
      <w:pPr>
        <w:pStyle w:val="1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456BC07C">
      <w:pPr>
        <w:ind w:firstLine="290"/>
        <w:jc w:val="center"/>
        <w:rPr>
          <w:sz w:val="28"/>
          <w:szCs w:val="28"/>
        </w:rPr>
      </w:pPr>
      <w:r>
        <w:rPr>
          <w:sz w:val="28"/>
          <w:szCs w:val="28"/>
        </w:rPr>
        <w:t>Сообщение о проведении торгов №246855</w:t>
      </w:r>
    </w:p>
    <w:p w14:paraId="09D98E5E">
      <w:pPr>
        <w:pStyle w:val="1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торгов: 15.09.2025 10:00 - 25.10.2025 09:00</w:t>
      </w:r>
    </w:p>
    <w:p w14:paraId="5B47905D">
      <w:pPr>
        <w:pStyle w:val="1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2A7D0B9">
      <w:pPr>
        <w:pStyle w:val="1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1017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6"/>
        <w:gridCol w:w="5103"/>
      </w:tblGrid>
      <w:tr w14:paraId="43452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08378B2E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noWrap w:val="0"/>
            <w:vAlign w:val="top"/>
          </w:tcPr>
          <w:p w14:paraId="0BA9A5E2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Носов Павел Викторович, </w:t>
            </w:r>
          </w:p>
          <w:p w14:paraId="722568B4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, ОГРН , ИНН 663900556295.</w:t>
            </w:r>
          </w:p>
          <w:p w14:paraId="539AB72E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14:paraId="5828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74C33EBD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является;</w:t>
            </w:r>
          </w:p>
          <w:p w14:paraId="7B01354C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конкурсного управляющего, краткое наименование конкурсного управляющего, ОГРН конкурсного управляющего (для процедур в отношении несостоятельных банков);</w:t>
            </w:r>
          </w:p>
        </w:tc>
        <w:tc>
          <w:tcPr>
            <w:tcW w:w="5103" w:type="dxa"/>
            <w:noWrap w:val="0"/>
            <w:vAlign w:val="top"/>
          </w:tcPr>
          <w:p w14:paraId="7A226742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Комарова Вера Сергеевна</w:t>
            </w:r>
          </w:p>
          <w:p w14:paraId="27091837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14:paraId="74D82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5C5FB682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noWrap w:val="0"/>
            <w:vAlign w:val="top"/>
          </w:tcPr>
          <w:p w14:paraId="3591AA64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Свердловской области, дело о банкротстве А60-66555/2024</w:t>
            </w:r>
          </w:p>
        </w:tc>
      </w:tr>
      <w:tr w14:paraId="20963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2442A5B3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noWrap w:val="0"/>
            <w:vAlign w:val="top"/>
          </w:tcPr>
          <w:p w14:paraId="1EDA1815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Свердловской области Решение о признании банкротом от 19.12.2024 г.</w:t>
            </w:r>
          </w:p>
        </w:tc>
      </w:tr>
      <w:tr w14:paraId="41ECC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6A657F92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noWrap w:val="0"/>
            <w:vAlign w:val="top"/>
          </w:tcPr>
          <w:p w14:paraId="24B07126">
            <w:pPr>
              <w:pStyle w:val="10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Легковой автомобиль универсал НИССАН СЕРЕНА 2006 г.в. VIN: NC25-054828 ГРЗ: Е548АМ196, Шасси(рама) № ОТСУТСТВУЕТ Кузов(кабина, прицеп) № NC25-054828 Мощность двигателя: 129 л.с./ 94.85 кВт Объем двигателя: 1997 куб.см. Пробег: 286 600 км Автомобиль на ходу. Автомобиль согласно СТС №9955 214418 от 05.03.2024 имеет цвет серый, однако при передаче финансовому управляющему задняя дверь, капот, бампер, часть ручки правой задней двери, ручка левой задней двери, левое и правое зеркала другого цвета (коричневый). Согласно рекомендаций сервисного центра необходима замена рулевых наконечников левого и правого, замена переднего правого рычага..</w:t>
            </w:r>
          </w:p>
        </w:tc>
      </w:tr>
      <w:tr w14:paraId="0F7B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05AF2365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noWrap w:val="0"/>
            <w:vAlign w:val="top"/>
          </w:tcPr>
          <w:p w14:paraId="02704108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14:paraId="3898E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20E0F2C3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noWrap w:val="0"/>
            <w:vAlign w:val="top"/>
          </w:tcPr>
          <w:p w14:paraId="5FD00E6D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AF09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22BA2D98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noWrap w:val="0"/>
            <w:vAlign w:val="top"/>
          </w:tcPr>
          <w:p w14:paraId="00057889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заявок на участие в торгах осуществляется по адресу: http://lot-online.ru  с 15.09.2025 г. и заканчивается 25.10.2025 г. в 09:00 (время московское).</w:t>
            </w:r>
          </w:p>
        </w:tc>
      </w:tr>
      <w:tr w14:paraId="445D5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58CEBEC8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noWrap w:val="0"/>
            <w:vAlign w:val="top"/>
          </w:tcPr>
          <w:p w14:paraId="7F9950E8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 «О несостоятельности (банкротстве)» и указанным в сообщении о проведении торгов и Положении о порядке реализации имущества должника Носова П.В. Заявители, допущенные к участию в торгах, признаются участниками торгов. Для участия в торгах заявитель подает в установленный срок заявку на участие в открытых электронных торгах, которая оформляется в виде электронного документа и подается на сайт оператора электронной торговой площадки. Заявка на участие в торгах должна соответствовать требованиям, установленным ФЗ «О несостоятельности (банкротстве)», приказу Министерства экономического развития РФ (Минэкономразвития России) от 23.07.2015 г. № 495 и требованиям, указанным в сообщении о проведении торгов, и оформляется в форме электронного документа. К заявке на участие в торгах должны прилагаться копии следующих документов: а) действительная на день представления заявки на участие в торгах выписка из единого государственного реестра юридических лиц; б) действительная на день представления заявки на участие в торгах выписка из единого государственного реестра индивидуальных предпринимателей и свидетельства о государственной регистрации (для индивидуального предпринимателя); в) копия паспорта (для физического лица); г) заверенные подписью и печатью организации копии учредительных документов, а также Свидетельство о государственной регистрации юридического лица и Свидетельство о постановке на налоговый учёт (для юридического лица); д) документ, подтверждающий полномочия лица на осуществление действий от имени заявителя с правом подписания заявки (доверенность или протокол о назначении исполнительного органа); е) платежный документ об уплате суммы задатка (расчетно-кассовый ордер, платежное поручение, иной финансовый платежный документ, подтверждающий уплату задатка). </w:t>
            </w:r>
            <w:r>
              <w:rPr>
                <w:rFonts w:hint="default"/>
                <w:bCs/>
                <w:sz w:val="28"/>
                <w:szCs w:val="28"/>
              </w:rPr>
              <w:t>Документы, прилагаемые к заявке, представляются в форме электронных документов, подписанных электронной цифровой подписью заявителя в адрес оператора электронной площадки. Заявитель обязан обеспечить поступление вышеуказанных документов организатору торгов и оператору электронной площадки вместе с заявкой на участие в торгах. Риск несвоевременного поступления документов несет заявитель. Для участия в торгах претендент вносит задаток в размере и сроки, указанные в сообщении о проведении торгов, на расчетный счет по реквизитам, указанным организатором торгов в сообщении о торгах. Размер задатка составляет 10 % от начальной цены имущества на соответствующих торгах. Задаток должен быть внесен лицом, намеренным принять участие в торгах, не позднее даты окончания приема заявок, указанной в сообщении о проведении торгов. Задаток считается внесенным с даты поступления всей суммы задатка на расчетный счет по реквизитам, указанным организатором торгов в сообщении о торгах. В случае поступления не полной суммы задатка на дату составления протокола об определении участников торгов, обязательство лица, намеренного принять участие в торгах, по внесению задатка считаются не исполненными. В этом случае указанное лицо к участию в торгах не допускается. Суммы внесенных заявителями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При заключении договора купли-продажи с лицом, которое выиграло торги, сумма внесенного последним задатка включается в счет исполнения его обязательств по данному договору. Решение Организатора торгов о допуске заявителей к участию в открытых торгах принимается по результатам рассмотрения всех представленных заявок на участие в открытых торгах и оформляется протоколом об определении участников торгов. Решение об отказе в допуске заявителя к участию в торгах принимается в случае, если: 1) заявка на участие в торгах не соответствует требованиям, установленным Федеральным законом «О несостоятельности (банкротстве)» и указанным в сообщении о проведении торгов, Порядке проведения открытых торгов в электронной форме при продаже имущества (предприятия) должника в ходе процедур, применяемых в деле о банкротстве и настоящем Положении; 2) представленные заявителем документы не соответствуют установленным к ним требованиям или сведения, содержащиеся в них, недостоверны; 3) поступление задатка на счета, указанные в сообщении о проведении торгов и настоящем Положении, не подтверждено на дату составления протокола об определении участников торгов.</w:t>
            </w:r>
          </w:p>
        </w:tc>
      </w:tr>
      <w:tr w14:paraId="03724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2CCE0D47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noWrap w:val="0"/>
            <w:vAlign w:val="top"/>
          </w:tcPr>
          <w:p w14:paraId="2FC15AF5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48042ADC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 руб.</w:t>
            </w:r>
          </w:p>
          <w:p w14:paraId="27FFE157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50BA2B06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Для участия в торгах претендент вносит задаток в размере и сроки, указанные в сообщении о проведении торгов, на расчетный счет АО "Российский аукционный дом" по реквизитам, указанным организатором торгов в сообщении о торгах. Размер задатка составляет 10 % от начальной цены имущества на соответствующих торгах. Задаток должен быть внесен лицом, намеренным принять участие в торгах, не позднее даты окончания приема заявок, указанной в сообщении о проведении торгов. Задаток считается внесенным с даты поступления всей суммы задатка на расчетный счет по реквизитам, указанным организатором торгов в сообщении о торгах. В случае поступления не полной суммы задатка на дату составления протокола об определении участников торгов, обязательство лица, намеренного принять участие в торгах, по внесению задатка считаются не исполненными. В этом случае указанное лицо к участию в торгах не допускается. Суммы внесенных заявителями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торгов. При заключении договора купли-продажи с лицом, которое выиграло торги, сумма внесенного последним задатка включается в счет исполнения его обязательств по данному договору..</w:t>
            </w:r>
          </w:p>
          <w:p w14:paraId="4B994AA5">
            <w:pPr>
              <w:pStyle w:val="14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АО «Российский аукционный дом» (ИНН 7838430413, КПП 783801001): р/с № 40702810355000036459 в СЕВЕРО-ЗАПАДНЫЙ БАНК ПАО СБЕРБАНК, БИК 044030653, к/с 30101810500000000653.</w:t>
            </w:r>
          </w:p>
        </w:tc>
      </w:tr>
      <w:tr w14:paraId="5E207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2FB47A96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noWrap w:val="0"/>
            <w:vAlign w:val="top"/>
          </w:tcPr>
          <w:p w14:paraId="2C1DE1BC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792 000.00 руб.</w:t>
            </w:r>
          </w:p>
          <w:p w14:paraId="7A7F2D09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14:paraId="446AC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1A3F9E02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noWrap w:val="0"/>
            <w:vAlign w:val="top"/>
          </w:tcPr>
          <w:p w14:paraId="145AC0CB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14:paraId="37EAD3F4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15.09.2025 в 0:0 (792 000.00 руб.) - 20.09.2025;</w:t>
            </w:r>
          </w:p>
          <w:p w14:paraId="73BC0312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20.09.2025 в 0:0 (712 800.00 руб.) - 25.09.2025;</w:t>
            </w:r>
          </w:p>
          <w:p w14:paraId="1E4FA77F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25.09.2025 в 0:0 (633 600.00 руб.) - 30.09.2025;</w:t>
            </w:r>
          </w:p>
          <w:p w14:paraId="5DAD93A9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30.09.2025 в 0:0 (554 400.00 руб.) - 05.10.2025;</w:t>
            </w:r>
          </w:p>
          <w:p w14:paraId="3C8DC7DA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05.10.2025 в 0:0 (475 200.00 руб.) - 10.10.2025;</w:t>
            </w:r>
          </w:p>
          <w:p w14:paraId="5400344A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10.10.2025 в 0:0 (396 000.00 руб.) - 15.10.2025;</w:t>
            </w:r>
          </w:p>
          <w:p w14:paraId="2A9DA781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15.10.2025 в 0:0 (316 800.00 руб.) - 20.10.2025;</w:t>
            </w:r>
          </w:p>
          <w:p w14:paraId="788734CE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20.10.2025 в 0:0 (237 600.00 руб.) - 25.10.2025;</w:t>
            </w:r>
          </w:p>
          <w:p w14:paraId="4CA2F923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14:paraId="1638D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73C62480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noWrap w:val="0"/>
            <w:vAlign w:val="top"/>
          </w:tcPr>
          <w:p w14:paraId="4DF5625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Право приобретения имущества Должника принадлежит участнику торгов, который представил на электронную торговую площадку «АО «Российский аукционный дом»: http://bankruptcy.lot-online.ru в установленный период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торгов, и внесший задаток для участия в торгах.В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предложения, прием заявок прекращается и торги считаются завершенными.</w:t>
            </w:r>
          </w:p>
        </w:tc>
      </w:tr>
      <w:tr w14:paraId="1C0A6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73387727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noWrap w:val="0"/>
            <w:vAlign w:val="top"/>
          </w:tcPr>
          <w:p w14:paraId="77CD3D24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Подведение итогов торгов и определение победителя торгов, при наличии поданных претендентами заявок на участие в торгах, производится на следующий день после последнего дня периода действия цены продажи имущества.</w:t>
            </w:r>
          </w:p>
        </w:tc>
      </w:tr>
      <w:tr w14:paraId="2E290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7708C24C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noWrap w:val="0"/>
            <w:vAlign w:val="top"/>
          </w:tcPr>
          <w:p w14:paraId="6FA63E27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случае, если победитель торгов уклоняется от заключения договора купли - продажи, не производит оплату по договору в установленный срок, организатор торгов вправе предложить заключить договор другим участникам торгов в порядке очередности подачи заявки. В случае отказа или уклонения победителя торгов (либо последующих участников торгов подавших заявку на том же отрезке действия цены предложения) от подписания договора купли - продажи в течение 5 (пяти) рабочих дней со дня получения предложения финансового управляющего о заключении такого договора, а также отсутствия полной оплаты по договору в течение 30 дней с даты заключения договора, внесенный задаток ему не возвращается и дальнейшая продажа производится начиная с последней цены, установленной на день определения победителя торгов. Кроме того, покупателем подлежат возмещению понесенные Должником расходы на проведение торгов, а также иные причиненные Должнику убытки, связанные с уклонением покупателя от оплаты Имущества. Оплата в соответствии с договором купли-продажи имущества должна быть осуществлена покупателем в течение 30 (тридцати) дней со дня подписания этого договора на специальный счет должника (по реквизитам, указанным в сообщении о торгах).</w:t>
            </w:r>
          </w:p>
        </w:tc>
      </w:tr>
      <w:tr w14:paraId="3AD7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12C0B13F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noWrap w:val="0"/>
            <w:vAlign w:val="top"/>
          </w:tcPr>
          <w:p w14:paraId="3C59DAD3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в соответствии с договором купли-продажи имущества должна быть осуществлена покупателем в течение 30 (тридцати) дней со дня подписания этого договора на специальный счет должника. Передача имущества финансовым управляющим и принятие его Покупателем осуществляются по передаточному акту, подписываемому сторонами. Расходы на регистрационные действия несет Покупатель.</w:t>
            </w:r>
          </w:p>
        </w:tc>
      </w:tr>
      <w:tr w14:paraId="1C682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37A31318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noWrap w:val="0"/>
            <w:vAlign w:val="top"/>
          </w:tcPr>
          <w:p w14:paraId="110EFA1A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– Комарова Вера Сергеевна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663300115789,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Свердловская обл, г Верхняя Пышма, ул Осипенко, д 10, тел. 89193724748, e-mail: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instrText xml:space="preserve"> HYPERLINK "mailto:agafonov@property-fund.ru" </w:instrTex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vera_vyukova@mail.ru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14:paraId="388FB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5076" w:type="dxa"/>
            <w:shd w:val="clear" w:color="auto" w:fill="FFFFFF"/>
            <w:noWrap w:val="0"/>
            <w:vAlign w:val="top"/>
          </w:tcPr>
          <w:p w14:paraId="448E4F9F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>
              <w:rPr>
                <w:color w:val="auto"/>
                <w:sz w:val="28"/>
                <w:szCs w:val="28"/>
              </w:rPr>
              <w:t>законом</w:t>
            </w:r>
            <w:r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347E1613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noWrap w:val="0"/>
            <w:vAlign w:val="top"/>
          </w:tcPr>
          <w:p w14:paraId="516A59D0">
            <w:pPr>
              <w:pStyle w:val="10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09.09.2025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14:paraId="35FD13B2">
            <w:pPr>
              <w:pStyle w:val="10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31F9B1D4">
      <w:pPr>
        <w:pStyle w:val="1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77333819">
      <w:pPr>
        <w:pStyle w:val="10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1" w:bottom="1134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05923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  <w:rsid w:val="3CB73B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annotation reference"/>
    <w:semiHidden/>
    <w:uiPriority w:val="0"/>
    <w:rPr>
      <w:sz w:val="16"/>
      <w:szCs w:val="16"/>
    </w:rPr>
  </w:style>
  <w:style w:type="character" w:styleId="5">
    <w:name w:val="Hyperlink"/>
    <w:uiPriority w:val="0"/>
    <w:rPr>
      <w:color w:val="0000FF"/>
      <w:u w:val="single"/>
    </w:rPr>
  </w:style>
  <w:style w:type="paragraph" w:styleId="6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7">
    <w:name w:val="annotation text"/>
    <w:basedOn w:val="1"/>
    <w:semiHidden/>
    <w:uiPriority w:val="0"/>
    <w:rPr>
      <w:sz w:val="20"/>
      <w:szCs w:val="20"/>
    </w:rPr>
  </w:style>
  <w:style w:type="paragraph" w:styleId="8">
    <w:name w:val="annotation subject"/>
    <w:basedOn w:val="7"/>
    <w:next w:val="7"/>
    <w:semiHidden/>
    <w:uiPriority w:val="0"/>
    <w:rPr>
      <w:b/>
      <w:bCs/>
    </w:rPr>
  </w:style>
  <w:style w:type="table" w:styleId="9">
    <w:name w:val="Table Grid"/>
    <w:basedOn w:val="3"/>
    <w:uiPriority w:val="0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ConsPlusNormal"/>
    <w:uiPriority w:val="0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 w:bidi="ar-SA"/>
    </w:rPr>
  </w:style>
  <w:style w:type="paragraph" w:customStyle="1" w:styleId="11">
    <w:name w:val="ConsPlusNonformat"/>
    <w:uiPriority w:val="0"/>
    <w:pPr>
      <w:autoSpaceDE w:val="0"/>
      <w:autoSpaceDN w:val="0"/>
      <w:adjustRightInd w:val="0"/>
    </w:pPr>
    <w:rPr>
      <w:rFonts w:ascii="Courier New" w:hAnsi="Courier New" w:cs="Courier New"/>
      <w:lang w:val="ru-RU" w:eastAsia="ru-RU" w:bidi="ar-SA"/>
    </w:rPr>
  </w:style>
  <w:style w:type="paragraph" w:customStyle="1" w:styleId="12">
    <w:name w:val="_Style 18"/>
    <w:basedOn w:val="1"/>
    <w:uiPriority w:val="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3">
    <w:name w:val="paragraph"/>
    <w:basedOn w:val="2"/>
    <w:uiPriority w:val="0"/>
  </w:style>
  <w:style w:type="paragraph" w:customStyle="1" w:styleId="14">
    <w:name w:val="ConsTitle"/>
    <w:uiPriority w:val="0"/>
    <w:pPr>
      <w:widowControl w:val="0"/>
    </w:pPr>
    <w:rPr>
      <w:rFonts w:ascii="Arial" w:hAnsi="Arial"/>
      <w:b/>
      <w:snapToGrid w:val="0"/>
      <w:sz w:val="16"/>
      <w:lang w:val="ru-RU" w:eastAsia="ru-RU" w:bidi="ar-SA"/>
    </w:rPr>
  </w:style>
  <w:style w:type="character" w:customStyle="1" w:styleId="15">
    <w:name w:val="apple-style-span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1818</Words>
  <Characters>10369</Characters>
  <Lines>86</Lines>
  <Paragraphs>24</Paragraphs>
  <TotalTime>1</TotalTime>
  <ScaleCrop>false</ScaleCrop>
  <LinksUpToDate>false</LinksUpToDate>
  <CharactersWithSpaces>12163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2011-07-08T08:43:00Z</dcterms:created>
  <dc:creator>Просвирницына Рина</dc:creator>
  <cp:lastModifiedBy>Верочка</cp:lastModifiedBy>
  <cp:lastPrinted>2010-11-10T14:05:00Z</cp:lastPrinted>
  <dcterms:modified xsi:type="dcterms:W3CDTF">2025-09-11T06:18:22Z</dcterms:modified>
  <dc:title>3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D34D5F228C73412E80D5CC137E2BBDC2_13</vt:lpwstr>
  </property>
</Properties>
</file>