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2227ADF9" w:rsidR="00CB638E" w:rsidRDefault="0093177B" w:rsidP="00CB638E">
      <w:pPr>
        <w:spacing w:after="0" w:line="240" w:lineRule="auto"/>
        <w:ind w:firstLine="567"/>
        <w:jc w:val="both"/>
      </w:pPr>
      <w:r w:rsidRPr="0093177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ungur@auction-house.ru) (далее - Организатор торгов, ОТ), действующее на основании договора с Коммерческим банком «БФГ-Кредит» (общество с ограниченной ответственностью) (КБ «БФГ-Кредит» (ООО)) (ОГРН 1037739226128, ИНН 7730062041, адрес регистрации: 121165, г. Москва, Кутузовский пр-т, д. 35/30) (далее – финансовая организация), конкурсным управляющим (ликвидатором) которого на основании решения Арбитражного суда г. Москвы от 30 сентября 2016 года по делу №А40-163846/2016-66-213 является государственная корпорация «Агентство по страхованию вкладов» (109240, г. Москва, ул. Высоцкого, д. 4) </w:t>
      </w:r>
      <w:r w:rsidR="00CB638E">
        <w:rPr>
          <w:rFonts w:ascii="Times New Roman" w:hAnsi="Times New Roman" w:cs="Times New Roman"/>
          <w:color w:val="000000"/>
          <w:sz w:val="24"/>
          <w:szCs w:val="24"/>
        </w:rPr>
        <w:t xml:space="preserve">(далее – КУ), проводит электронные </w:t>
      </w:r>
      <w:r w:rsidR="00CB638E">
        <w:rPr>
          <w:rFonts w:ascii="Times New Roman" w:hAnsi="Times New Roman" w:cs="Times New Roman"/>
          <w:b/>
          <w:color w:val="000000"/>
          <w:sz w:val="24"/>
          <w:szCs w:val="24"/>
        </w:rPr>
        <w:t>торги</w:t>
      </w:r>
      <w:r w:rsidR="00CB638E">
        <w:rPr>
          <w:rFonts w:ascii="Times New Roman" w:hAnsi="Times New Roman" w:cs="Times New Roman"/>
          <w:color w:val="000000"/>
          <w:sz w:val="24"/>
          <w:szCs w:val="24"/>
        </w:rPr>
        <w:t xml:space="preserve"> </w:t>
      </w:r>
      <w:r w:rsidR="00CB638E">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AE1E52"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627500EC" w14:textId="6749DCEE" w:rsidR="00CB638E"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sidRPr="0093177B">
        <w:rPr>
          <w:rFonts w:ascii="Times New Roman" w:hAnsi="Times New Roman" w:cs="Times New Roman"/>
          <w:color w:val="000000"/>
          <w:sz w:val="24"/>
          <w:szCs w:val="24"/>
        </w:rPr>
        <w:t>юридическим лицам</w:t>
      </w:r>
      <w:r>
        <w:rPr>
          <w:rFonts w:ascii="Times New Roman" w:hAnsi="Times New Roman" w:cs="Times New Roman"/>
          <w:color w:val="000000"/>
          <w:sz w:val="24"/>
          <w:szCs w:val="24"/>
        </w:rPr>
        <w:t xml:space="preserve"> ((в скобках указана в т.ч. сумма долга) – начальная цена продажи лота):</w:t>
      </w:r>
    </w:p>
    <w:p w14:paraId="1A82965D" w14:textId="6DA8A9A5" w:rsidR="00CB638E" w:rsidRDefault="0093177B"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1 - </w:t>
      </w:r>
      <w:r w:rsidRPr="0093177B">
        <w:rPr>
          <w:rFonts w:ascii="Times New Roman CYR" w:hAnsi="Times New Roman CYR" w:cs="Times New Roman CYR"/>
          <w:color w:val="000000"/>
        </w:rPr>
        <w:t>ООО «КамСтройИнвест», ИНН 5906085965, Лобанов Алексей Викторович, Бабин Сергей Петрович, ООО «УК «Строительные проекты», ИНН 5902244639, ООО «Регион», ИНН 5902212531, КД 2112 от 24.12.2014, определение АС Пермского края от 07.08.2017 по делу А50-31196/2016 о включении в РТК, решение АС Пермского края от 25.08.2023 по делу А50-28930/22 о включении в РТК, решение Свердловского районного суда г. Перми от 21.07.2017 по делу 2-1876/2017, КД 1654 от 29.11.2013, определение АС Пермского края от 27.11.2017 по делу А50-6088/2017 о включении в РТК, решение Свердловского районного суда г. Перми от 20.06.2017 по делу 2-1883/2017, ООО «КамСтройИнвест», Бабин Сергей Петрович, ООО «Регион» в процедуре банкротства (2 830 978 178,66 руб.)</w:t>
      </w:r>
      <w:r>
        <w:rPr>
          <w:rFonts w:ascii="Times New Roman CYR" w:hAnsi="Times New Roman CYR" w:cs="Times New Roman CYR"/>
          <w:color w:val="000000"/>
        </w:rPr>
        <w:t xml:space="preserve"> - </w:t>
      </w:r>
      <w:r w:rsidRPr="0093177B">
        <w:rPr>
          <w:rFonts w:ascii="Times New Roman CYR" w:hAnsi="Times New Roman CYR" w:cs="Times New Roman CYR"/>
          <w:color w:val="000000"/>
        </w:rPr>
        <w:t>2 830 978 178,66</w:t>
      </w:r>
      <w:r>
        <w:rPr>
          <w:rFonts w:ascii="Times New Roman CYR" w:hAnsi="Times New Roman CYR" w:cs="Times New Roman CYR"/>
          <w:color w:val="000000"/>
        </w:rPr>
        <w:t xml:space="preserve"> руб.</w:t>
      </w:r>
    </w:p>
    <w:p w14:paraId="72CEA841" w14:textId="4AB4F0B1"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4DA93CBB"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210562" w:rsidRPr="00210562">
        <w:rPr>
          <w:rFonts w:ascii="Times New Roman CYR" w:hAnsi="Times New Roman CYR" w:cs="Times New Roman CYR"/>
          <w:b/>
          <w:bCs/>
          <w:color w:val="000000"/>
        </w:rPr>
        <w:t>28 октября</w:t>
      </w:r>
      <w:r w:rsidR="00210562">
        <w:rPr>
          <w:rFonts w:ascii="Times New Roman CYR" w:hAnsi="Times New Roman CYR" w:cs="Times New Roman CYR"/>
          <w:color w:val="000000"/>
        </w:rPr>
        <w:t xml:space="preserve"> </w:t>
      </w:r>
      <w:r w:rsidR="00BD0E8E" w:rsidRPr="0037642D">
        <w:rPr>
          <w:b/>
        </w:rPr>
        <w:t>202</w:t>
      </w:r>
      <w:r w:rsidR="00924745">
        <w:rPr>
          <w:b/>
        </w:rPr>
        <w:t>5</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61691EF9"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210562" w:rsidRPr="00210562">
        <w:rPr>
          <w:b/>
          <w:bCs/>
          <w:color w:val="000000"/>
        </w:rPr>
        <w:t>28 октября</w:t>
      </w:r>
      <w:r w:rsidR="009E7E5E">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лот не реализован, то в 14:00 часов по московскому времени </w:t>
      </w:r>
      <w:r w:rsidR="00210562" w:rsidRPr="00210562">
        <w:rPr>
          <w:b/>
          <w:bCs/>
          <w:color w:val="000000"/>
        </w:rPr>
        <w:t>17 декабря</w:t>
      </w:r>
      <w:r w:rsidR="009E7E5E">
        <w:rPr>
          <w:color w:val="000000"/>
        </w:rPr>
        <w:t xml:space="preserve"> </w:t>
      </w:r>
      <w:r w:rsidR="009E7E5E" w:rsidRPr="009E7E5E">
        <w:rPr>
          <w:b/>
          <w:bCs/>
          <w:color w:val="000000"/>
        </w:rPr>
        <w:t>202</w:t>
      </w:r>
      <w:r w:rsidR="00410CA1">
        <w:rPr>
          <w:b/>
          <w:bCs/>
          <w:color w:val="000000"/>
        </w:rPr>
        <w:t>5</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w:t>
      </w:r>
      <w:r w:rsidR="00210562">
        <w:rPr>
          <w:color w:val="000000"/>
        </w:rPr>
        <w:t xml:space="preserve"> </w:t>
      </w:r>
      <w:r w:rsidRPr="0037642D">
        <w:rPr>
          <w:color w:val="000000"/>
        </w:rPr>
        <w:t>лот</w:t>
      </w:r>
      <w:r w:rsidR="00210562">
        <w:rPr>
          <w:color w:val="000000"/>
        </w:rPr>
        <w:t>ом</w:t>
      </w:r>
      <w:r w:rsidRPr="0037642D">
        <w:rPr>
          <w:color w:val="000000"/>
        </w:rPr>
        <w:t xml:space="preserve"> со снижением начальной цены лот</w:t>
      </w:r>
      <w:r w:rsidR="005342E4">
        <w:rPr>
          <w:color w:val="000000"/>
        </w:rPr>
        <w:t>а</w:t>
      </w:r>
      <w:r w:rsidRPr="0037642D">
        <w:rPr>
          <w:color w:val="000000"/>
        </w:rPr>
        <w:t xml:space="preserve">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43CB791E"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FC4807" w:rsidRPr="00FC4807">
        <w:rPr>
          <w:b/>
          <w:bCs/>
          <w:color w:val="000000"/>
        </w:rPr>
        <w:t>16 сентября</w:t>
      </w:r>
      <w:r w:rsidR="00FC4807">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FC4807" w:rsidRPr="00FC4807">
        <w:rPr>
          <w:b/>
          <w:bCs/>
          <w:color w:val="000000"/>
        </w:rPr>
        <w:t>05 ноября</w:t>
      </w:r>
      <w:r w:rsidR="009E7E5E">
        <w:rPr>
          <w:color w:val="000000"/>
        </w:rPr>
        <w:t xml:space="preserve"> </w:t>
      </w:r>
      <w:r w:rsidR="009E7E5E" w:rsidRPr="009E7E5E">
        <w:rPr>
          <w:b/>
          <w:bCs/>
          <w:color w:val="000000"/>
        </w:rPr>
        <w:t>202</w:t>
      </w:r>
      <w:r w:rsidR="00924745">
        <w:rPr>
          <w:b/>
          <w:bCs/>
          <w:color w:val="000000"/>
        </w:rPr>
        <w:t>5</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FC4807">
        <w:rPr>
          <w:color w:val="000000"/>
        </w:rPr>
        <w:t>5 (Пять)</w:t>
      </w:r>
      <w:r w:rsidRPr="0037642D">
        <w:rPr>
          <w:color w:val="000000"/>
        </w:rPr>
        <w:t xml:space="preserve"> календарных дней до даты проведения соответствующих Торгов.</w:t>
      </w:r>
    </w:p>
    <w:p w14:paraId="172EB580" w14:textId="27D8AB61"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391D44F0"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5342E4">
        <w:rPr>
          <w:b/>
          <w:bCs/>
          <w:color w:val="000000"/>
        </w:rPr>
        <w:t>12 января</w:t>
      </w:r>
      <w:r w:rsidRPr="005246E8">
        <w:rPr>
          <w:b/>
          <w:bCs/>
          <w:color w:val="000000"/>
        </w:rPr>
        <w:t xml:space="preserve"> </w:t>
      </w:r>
      <w:r w:rsidR="00BD0E8E" w:rsidRPr="005246E8">
        <w:rPr>
          <w:b/>
          <w:bCs/>
          <w:color w:val="000000"/>
        </w:rPr>
        <w:t>20</w:t>
      </w:r>
      <w:r w:rsidR="005342E4">
        <w:rPr>
          <w:b/>
          <w:bCs/>
          <w:color w:val="000000"/>
        </w:rPr>
        <w:t>26</w:t>
      </w:r>
      <w:r w:rsidR="00950CC9" w:rsidRPr="005246E8">
        <w:rPr>
          <w:b/>
          <w:bCs/>
          <w:color w:val="000000"/>
        </w:rPr>
        <w:t xml:space="preserve"> г. по </w:t>
      </w:r>
      <w:r w:rsidR="005342E4">
        <w:rPr>
          <w:b/>
          <w:bCs/>
          <w:color w:val="000000"/>
        </w:rPr>
        <w:t>18 февраля</w:t>
      </w:r>
      <w:r w:rsidR="009E7E5E">
        <w:rPr>
          <w:b/>
          <w:bCs/>
          <w:color w:val="000000"/>
        </w:rPr>
        <w:t xml:space="preserve"> </w:t>
      </w:r>
      <w:r w:rsidR="00BD0E8E" w:rsidRPr="005246E8">
        <w:rPr>
          <w:b/>
          <w:bCs/>
          <w:color w:val="000000"/>
        </w:rPr>
        <w:t>202</w:t>
      </w:r>
      <w:r w:rsidR="005342E4">
        <w:rPr>
          <w:b/>
          <w:bCs/>
          <w:color w:val="000000"/>
        </w:rPr>
        <w:t>6</w:t>
      </w:r>
      <w:r w:rsidR="00950CC9" w:rsidRPr="005246E8">
        <w:rPr>
          <w:b/>
          <w:bCs/>
          <w:color w:val="000000"/>
        </w:rPr>
        <w:t xml:space="preserve"> г.</w:t>
      </w:r>
    </w:p>
    <w:p w14:paraId="287E4339" w14:textId="323AE8DF"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lastRenderedPageBreak/>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E544EC" w:rsidRPr="00E544EC">
        <w:rPr>
          <w:b/>
          <w:bCs/>
          <w:color w:val="000000"/>
        </w:rPr>
        <w:t>12 января 2026</w:t>
      </w:r>
      <w:r w:rsidR="00E544EC" w:rsidRPr="00E544EC">
        <w:rPr>
          <w:color w:val="000000"/>
        </w:rPr>
        <w:t xml:space="preserve"> </w:t>
      </w:r>
      <w:r w:rsidRPr="009E7E5E">
        <w:rPr>
          <w:b/>
          <w:bCs/>
          <w:color w:val="000000"/>
        </w:rPr>
        <w:t>г.</w:t>
      </w:r>
      <w:r w:rsidRPr="005246E8">
        <w:rPr>
          <w:color w:val="000000"/>
        </w:rPr>
        <w:t xml:space="preserve"> Прием заявок на участие в Торгах ППП и задатков прекращается за </w:t>
      </w:r>
      <w:r w:rsidR="00F17038" w:rsidRPr="00E544EC">
        <w:rPr>
          <w:color w:val="000000"/>
        </w:rPr>
        <w:t>1</w:t>
      </w:r>
      <w:r w:rsidRPr="00E544EC">
        <w:rPr>
          <w:color w:val="000000"/>
        </w:rPr>
        <w:t xml:space="preserve"> (</w:t>
      </w:r>
      <w:r w:rsidR="00F17038" w:rsidRPr="00E544EC">
        <w:rPr>
          <w:color w:val="000000"/>
        </w:rPr>
        <w:t>Один</w:t>
      </w:r>
      <w:r w:rsidRPr="00E544EC">
        <w:rPr>
          <w:color w:val="000000"/>
        </w:rPr>
        <w:t>) календарны</w:t>
      </w:r>
      <w:r w:rsidR="00F17038" w:rsidRPr="00E544EC">
        <w:rPr>
          <w:color w:val="000000"/>
        </w:rPr>
        <w:t>й</w:t>
      </w:r>
      <w:r w:rsidRPr="00E544EC">
        <w:rPr>
          <w:color w:val="000000"/>
        </w:rPr>
        <w:t xml:space="preserve"> де</w:t>
      </w:r>
      <w:r w:rsidR="00F17038" w:rsidRPr="00E544EC">
        <w:rPr>
          <w:color w:val="000000"/>
        </w:rPr>
        <w:t>нь</w:t>
      </w:r>
      <w:r w:rsidRPr="005246E8">
        <w:rPr>
          <w:color w:val="000000"/>
        </w:rPr>
        <w:t xml:space="preserve"> до даты окончания соответствующего периода понижения цены продажи лот</w:t>
      </w:r>
      <w:r w:rsidR="00E544EC">
        <w:rPr>
          <w:color w:val="000000"/>
        </w:rPr>
        <w:t>а</w:t>
      </w:r>
      <w:r w:rsidRPr="005246E8">
        <w:rPr>
          <w:color w:val="000000"/>
        </w:rPr>
        <w:t xml:space="preserve"> в 14:00 часов по московскому времени.</w:t>
      </w:r>
    </w:p>
    <w:p w14:paraId="0EE5AAB1" w14:textId="20A3F606"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w:t>
      </w:r>
      <w:r w:rsidR="00E544EC">
        <w:rPr>
          <w:color w:val="000000"/>
        </w:rPr>
        <w:t>а</w:t>
      </w:r>
      <w:r w:rsidRPr="005246E8">
        <w:rPr>
          <w:color w:val="000000"/>
        </w:rPr>
        <w:t>, и не позднее 18:00 часов по московскому времени последнего дня соответствующего периода понижения цены продажи лот</w:t>
      </w:r>
      <w:r w:rsidR="00E544EC">
        <w:rPr>
          <w:color w:val="000000"/>
        </w:rPr>
        <w:t>а</w:t>
      </w:r>
      <w:r w:rsidRPr="005246E8">
        <w:rPr>
          <w:color w:val="000000"/>
        </w:rPr>
        <w:t>.</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6C09BD25"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w:t>
      </w:r>
      <w:r w:rsidR="00E544EC">
        <w:rPr>
          <w:color w:val="000000"/>
        </w:rPr>
        <w:t>а</w:t>
      </w:r>
      <w:r w:rsidRPr="001D79B8">
        <w:rPr>
          <w:color w:val="000000"/>
        </w:rPr>
        <w:t xml:space="preserve"> на Торгах ППП устанавливаются равными начальным ценам продажи лот</w:t>
      </w:r>
      <w:r w:rsidR="00E544EC">
        <w:rPr>
          <w:color w:val="000000"/>
        </w:rPr>
        <w:t>а</w:t>
      </w:r>
      <w:r w:rsidRPr="001D79B8">
        <w:rPr>
          <w:color w:val="000000"/>
        </w:rPr>
        <w:t xml:space="preserve"> на повторных Торгах</w:t>
      </w:r>
      <w:r w:rsidR="00950CC9" w:rsidRPr="005246E8">
        <w:rPr>
          <w:color w:val="000000"/>
        </w:rPr>
        <w:t>:</w:t>
      </w:r>
    </w:p>
    <w:p w14:paraId="46CF5717"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12 января 2026 г. по 18 января 2026 г. - в размере начальной цены продажи лота;</w:t>
      </w:r>
    </w:p>
    <w:p w14:paraId="1B4CD61D"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19 января 2026 г. по 22 января 2026 г. - в размере 90,00% от начальной цены продажи лота;</w:t>
      </w:r>
    </w:p>
    <w:p w14:paraId="6DBED852"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23 января 2026 г. по 25 января 2026 г. - в размере 80,00% от начальной цены продажи лота;</w:t>
      </w:r>
    </w:p>
    <w:p w14:paraId="4D7DAE0F"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26 января 2026 г. по 28 января 2026 г. - в размере 70,00% от начальной цены продажи лота;</w:t>
      </w:r>
    </w:p>
    <w:p w14:paraId="698B616B"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29 января 2026 г. по 31 января 2026 г. - в размере 60,00% от начальной цены продажи лота;</w:t>
      </w:r>
    </w:p>
    <w:p w14:paraId="23253C43"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01 февраля 2026 г. по 03 февраля 2026 г. - в размере 50,00% от начальной цены продажи лота;</w:t>
      </w:r>
    </w:p>
    <w:p w14:paraId="66858984"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04 февраля 2026 г. по 06 февраля 2026 г. - в размере 40,00% от начальной цены продажи лота;</w:t>
      </w:r>
    </w:p>
    <w:p w14:paraId="2BF9691E"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07 февраля 2026 г. по 09 февраля 2026 г. - в размере 30,00% от начальной цены продажи лота;</w:t>
      </w:r>
    </w:p>
    <w:p w14:paraId="1A426769" w14:textId="77777777"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10 февраля 2026 г. по 12 февраля 2026 г. - в размере 20,00% от начальной цены продажи лота;</w:t>
      </w:r>
    </w:p>
    <w:p w14:paraId="0085F3E0" w14:textId="7A4714BC" w:rsidR="007A4C5F" w:rsidRPr="007A4C5F" w:rsidRDefault="007A4C5F" w:rsidP="007A4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с 13 февраля 2026 г. по 15 февраля 2026 г. - в размере 10,</w:t>
      </w:r>
      <w:r w:rsidR="00821A40">
        <w:rPr>
          <w:rFonts w:ascii="Times New Roman" w:hAnsi="Times New Roman" w:cs="Times New Roman"/>
          <w:color w:val="000000"/>
          <w:sz w:val="24"/>
          <w:szCs w:val="24"/>
        </w:rPr>
        <w:t>5</w:t>
      </w:r>
      <w:r w:rsidRPr="007A4C5F">
        <w:rPr>
          <w:rFonts w:ascii="Times New Roman" w:hAnsi="Times New Roman" w:cs="Times New Roman"/>
          <w:color w:val="000000"/>
          <w:sz w:val="24"/>
          <w:szCs w:val="24"/>
        </w:rPr>
        <w:t>0% от начальной цены продажи лота;</w:t>
      </w:r>
    </w:p>
    <w:p w14:paraId="6CE0A093" w14:textId="29A1C5A3" w:rsidR="005C5BB0" w:rsidRDefault="007A4C5F"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4C5F">
        <w:rPr>
          <w:rFonts w:ascii="Times New Roman" w:hAnsi="Times New Roman" w:cs="Times New Roman"/>
          <w:color w:val="000000"/>
          <w:sz w:val="24"/>
          <w:szCs w:val="24"/>
        </w:rPr>
        <w:t xml:space="preserve">с 16 февраля 2026 г. по 18 февраля 2026 г. - в размере </w:t>
      </w:r>
      <w:r w:rsidR="00821A40">
        <w:rPr>
          <w:rFonts w:ascii="Times New Roman" w:hAnsi="Times New Roman" w:cs="Times New Roman"/>
          <w:color w:val="000000"/>
          <w:sz w:val="24"/>
          <w:szCs w:val="24"/>
        </w:rPr>
        <w:t>1</w:t>
      </w:r>
      <w:r w:rsidRPr="007A4C5F">
        <w:rPr>
          <w:rFonts w:ascii="Times New Roman" w:hAnsi="Times New Roman" w:cs="Times New Roman"/>
          <w:color w:val="000000"/>
          <w:sz w:val="24"/>
          <w:szCs w:val="24"/>
        </w:rPr>
        <w:t>,</w:t>
      </w:r>
      <w:r w:rsidR="00821A40">
        <w:rPr>
          <w:rFonts w:ascii="Times New Roman" w:hAnsi="Times New Roman" w:cs="Times New Roman"/>
          <w:color w:val="000000"/>
          <w:sz w:val="24"/>
          <w:szCs w:val="24"/>
        </w:rPr>
        <w:t>3</w:t>
      </w:r>
      <w:r w:rsidRPr="007A4C5F">
        <w:rPr>
          <w:rFonts w:ascii="Times New Roman" w:hAnsi="Times New Roman" w:cs="Times New Roman"/>
          <w:color w:val="000000"/>
          <w:sz w:val="24"/>
          <w:szCs w:val="24"/>
        </w:rPr>
        <w:t>0% от начальной цены продажи лота</w:t>
      </w:r>
      <w:r w:rsidR="00821A40">
        <w:rPr>
          <w:rFonts w:ascii="Times New Roman" w:hAnsi="Times New Roman" w:cs="Times New Roman"/>
          <w:color w:val="000000"/>
          <w:sz w:val="24"/>
          <w:szCs w:val="24"/>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BF4821C"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136CF2" w:rsidRPr="00136CF2">
        <w:rPr>
          <w:rFonts w:ascii="Times New Roman" w:hAnsi="Times New Roman" w:cs="Times New Roman"/>
          <w:b/>
          <w:color w:val="000000"/>
          <w:sz w:val="24"/>
          <w:szCs w:val="24"/>
        </w:rPr>
        <w:t>«№ Л/с</w:t>
      </w:r>
      <w:proofErr w:type="gramStart"/>
      <w:r w:rsidR="00136CF2" w:rsidRPr="00136CF2">
        <w:rPr>
          <w:rFonts w:ascii="Times New Roman" w:hAnsi="Times New Roman" w:cs="Times New Roman"/>
          <w:b/>
          <w:color w:val="000000"/>
          <w:sz w:val="24"/>
          <w:szCs w:val="24"/>
        </w:rPr>
        <w:t xml:space="preserve"> ....</w:t>
      </w:r>
      <w:proofErr w:type="gramEnd"/>
      <w:r w:rsidR="00136CF2" w:rsidRPr="00136CF2">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28B9DEA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Задаток за участие в Торгах составляет </w:t>
      </w:r>
      <w:r w:rsidRPr="003E1970">
        <w:rPr>
          <w:rFonts w:ascii="Times New Roman" w:hAnsi="Times New Roman" w:cs="Times New Roman"/>
          <w:color w:val="000000"/>
          <w:sz w:val="24"/>
          <w:szCs w:val="24"/>
        </w:rPr>
        <w:t>1</w:t>
      </w:r>
      <w:r w:rsidR="003E1970" w:rsidRPr="003E1970">
        <w:rPr>
          <w:rFonts w:ascii="Times New Roman" w:hAnsi="Times New Roman" w:cs="Times New Roman"/>
          <w:color w:val="000000"/>
          <w:sz w:val="24"/>
          <w:szCs w:val="24"/>
        </w:rPr>
        <w:t>5</w:t>
      </w:r>
      <w:r w:rsidRPr="003E1970">
        <w:rPr>
          <w:rFonts w:ascii="Times New Roman" w:hAnsi="Times New Roman" w:cs="Times New Roman"/>
          <w:color w:val="000000"/>
          <w:sz w:val="24"/>
          <w:szCs w:val="24"/>
        </w:rPr>
        <w:t xml:space="preserve"> (</w:t>
      </w:r>
      <w:r w:rsidR="003E1970" w:rsidRPr="003E1970">
        <w:rPr>
          <w:rFonts w:ascii="Times New Roman" w:hAnsi="Times New Roman" w:cs="Times New Roman"/>
          <w:color w:val="000000"/>
          <w:sz w:val="24"/>
          <w:szCs w:val="24"/>
        </w:rPr>
        <w:t>Пятнадцать</w:t>
      </w:r>
      <w:r w:rsidRPr="003E1970">
        <w:rPr>
          <w:rFonts w:ascii="Times New Roman" w:hAnsi="Times New Roman" w:cs="Times New Roman"/>
          <w:color w:val="000000"/>
          <w:sz w:val="24"/>
          <w:szCs w:val="24"/>
        </w:rPr>
        <w:t>) процентов</w:t>
      </w:r>
      <w:r w:rsidRPr="005246E8">
        <w:rPr>
          <w:rFonts w:ascii="Times New Roman" w:hAnsi="Times New Roman" w:cs="Times New Roman"/>
          <w:color w:val="000000"/>
          <w:sz w:val="24"/>
          <w:szCs w:val="24"/>
        </w:rPr>
        <w:t xml:space="preserve"> от начальной цены лота. Задаток за участие в Торгах ППП составляет </w:t>
      </w:r>
      <w:r w:rsidRPr="003E1970">
        <w:rPr>
          <w:rFonts w:ascii="Times New Roman" w:hAnsi="Times New Roman" w:cs="Times New Roman"/>
          <w:color w:val="000000"/>
          <w:sz w:val="24"/>
          <w:szCs w:val="24"/>
        </w:rPr>
        <w:t>1</w:t>
      </w:r>
      <w:r w:rsidR="003E1970" w:rsidRPr="003E1970">
        <w:rPr>
          <w:rFonts w:ascii="Times New Roman" w:hAnsi="Times New Roman" w:cs="Times New Roman"/>
          <w:color w:val="000000"/>
          <w:sz w:val="24"/>
          <w:szCs w:val="24"/>
        </w:rPr>
        <w:t>5</w:t>
      </w:r>
      <w:r w:rsidRPr="003E1970">
        <w:rPr>
          <w:rFonts w:ascii="Times New Roman" w:hAnsi="Times New Roman" w:cs="Times New Roman"/>
          <w:color w:val="000000"/>
          <w:sz w:val="24"/>
          <w:szCs w:val="24"/>
        </w:rPr>
        <w:t xml:space="preserve"> (</w:t>
      </w:r>
      <w:r w:rsidR="003E1970" w:rsidRPr="003E1970">
        <w:rPr>
          <w:rFonts w:ascii="Times New Roman" w:hAnsi="Times New Roman" w:cs="Times New Roman"/>
          <w:color w:val="000000"/>
          <w:sz w:val="24"/>
          <w:szCs w:val="24"/>
        </w:rPr>
        <w:t>Пятнадцать</w:t>
      </w:r>
      <w:r w:rsidRPr="003E1970">
        <w:rPr>
          <w:rFonts w:ascii="Times New Roman" w:hAnsi="Times New Roman" w:cs="Times New Roman"/>
          <w:color w:val="000000"/>
          <w:sz w:val="24"/>
          <w:szCs w:val="24"/>
        </w:rPr>
        <w:t>) процентов</w:t>
      </w:r>
      <w:r w:rsidRPr="005246E8">
        <w:rPr>
          <w:rFonts w:ascii="Times New Roman" w:hAnsi="Times New Roman" w:cs="Times New Roman"/>
          <w:color w:val="000000"/>
          <w:sz w:val="24"/>
          <w:szCs w:val="24"/>
        </w:rPr>
        <w:t xml:space="preserve">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lastRenderedPageBreak/>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B0232C"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0232C">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63017BA" w14:textId="77777777" w:rsidR="00097526" w:rsidRPr="00DD01C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0232C">
        <w:rPr>
          <w:rFonts w:ascii="Times New Roman" w:hAnsi="Times New Roman" w:cs="Times New Roman"/>
          <w:color w:val="000000"/>
          <w:sz w:val="24"/>
          <w:szCs w:val="24"/>
        </w:rPr>
        <w:t>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w:t>
      </w:r>
      <w:r w:rsidRPr="005246E8">
        <w:rPr>
          <w:rFonts w:ascii="Times New Roman" w:hAnsi="Times New Roman" w:cs="Times New Roman"/>
          <w:color w:val="000000"/>
          <w:sz w:val="24"/>
          <w:szCs w:val="24"/>
        </w:rPr>
        <w:t xml:space="preserve">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Pr="00DD01CB">
        <w:rPr>
          <w:rFonts w:ascii="Times New Roman" w:hAnsi="Times New Roman" w:cs="Times New Roman"/>
          <w:color w:val="000000"/>
          <w:sz w:val="24"/>
          <w:szCs w:val="24"/>
        </w:rPr>
        <w:t xml:space="preserve">Неподписание Договора в течение 5 (Пять) дней с даты его направления </w:t>
      </w:r>
      <w:r w:rsidRPr="00DD01CB">
        <w:rPr>
          <w:rFonts w:ascii="Times New Roman" w:hAnsi="Times New Roman" w:cs="Times New Roman"/>
          <w:color w:val="000000"/>
          <w:sz w:val="24"/>
          <w:szCs w:val="24"/>
        </w:rPr>
        <w:lastRenderedPageBreak/>
        <w:t>Победителю означает отказ (уклонение) Победителя от заключения Договора</w:t>
      </w:r>
      <w:r>
        <w:rPr>
          <w:rFonts w:ascii="Times New Roman" w:hAnsi="Times New Roman" w:cs="Times New Roman"/>
          <w:color w:val="000000"/>
          <w:sz w:val="24"/>
          <w:szCs w:val="24"/>
        </w:rPr>
        <w:t xml:space="preserve">, </w:t>
      </w:r>
      <w:r w:rsidRPr="007D0203">
        <w:rPr>
          <w:rFonts w:ascii="Times New Roman" w:hAnsi="Times New Roman" w:cs="Times New Roman"/>
          <w:color w:val="000000"/>
          <w:sz w:val="24"/>
          <w:szCs w:val="24"/>
        </w:rPr>
        <w:t>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Pr="00DD01CB">
        <w:rPr>
          <w:rFonts w:ascii="Times New Roman" w:hAnsi="Times New Roman" w:cs="Times New Roman"/>
          <w:color w:val="000000"/>
          <w:sz w:val="24"/>
          <w:szCs w:val="24"/>
        </w:rPr>
        <w:t xml:space="preserve">. </w:t>
      </w:r>
    </w:p>
    <w:p w14:paraId="6E0B11DC"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66DD6">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0E656560" w:rsidR="00097526" w:rsidRPr="004914B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D0203">
        <w:rPr>
          <w:rFonts w:ascii="Times New Roman" w:hAnsi="Times New Roman" w:cs="Times New Roman"/>
          <w:color w:val="000000"/>
          <w:sz w:val="24"/>
          <w:szCs w:val="24"/>
        </w:rPr>
        <w:t xml:space="preserve">Информацию о реализуемом имуществе можно получить у КУ </w:t>
      </w:r>
      <w:r w:rsidRPr="007D0203">
        <w:rPr>
          <w:rFonts w:ascii="Times New Roman" w:hAnsi="Times New Roman" w:cs="Times New Roman"/>
          <w:color w:val="000000"/>
          <w:sz w:val="24"/>
          <w:szCs w:val="24"/>
          <w:shd w:val="clear" w:color="auto" w:fill="FFFFFF"/>
        </w:rPr>
        <w:t>с 10:00</w:t>
      </w:r>
      <w:r w:rsidRPr="007D0203">
        <w:rPr>
          <w:rFonts w:ascii="Times New Roman" w:hAnsi="Times New Roman" w:cs="Times New Roman"/>
          <w:sz w:val="24"/>
          <w:szCs w:val="24"/>
        </w:rPr>
        <w:t xml:space="preserve"> д</w:t>
      </w:r>
      <w:r w:rsidRPr="007D0203">
        <w:rPr>
          <w:rFonts w:ascii="Times New Roman" w:hAnsi="Times New Roman" w:cs="Times New Roman"/>
          <w:color w:val="000000"/>
          <w:sz w:val="24"/>
          <w:szCs w:val="24"/>
          <w:shd w:val="clear" w:color="auto" w:fill="FFFFFF"/>
        </w:rPr>
        <w:t>о 1</w:t>
      </w:r>
      <w:r w:rsidR="00151C75">
        <w:rPr>
          <w:rFonts w:ascii="Times New Roman" w:hAnsi="Times New Roman" w:cs="Times New Roman"/>
          <w:color w:val="000000"/>
          <w:sz w:val="24"/>
          <w:szCs w:val="24"/>
          <w:shd w:val="clear" w:color="auto" w:fill="FFFFFF"/>
        </w:rPr>
        <w:t>6</w:t>
      </w:r>
      <w:r w:rsidRPr="007D0203">
        <w:rPr>
          <w:rFonts w:ascii="Times New Roman" w:hAnsi="Times New Roman" w:cs="Times New Roman"/>
          <w:color w:val="000000"/>
          <w:sz w:val="24"/>
          <w:szCs w:val="24"/>
          <w:shd w:val="clear" w:color="auto" w:fill="FFFFFF"/>
        </w:rPr>
        <w:t>:00</w:t>
      </w:r>
      <w:r w:rsidRPr="007D0203">
        <w:rPr>
          <w:rFonts w:ascii="Times New Roman" w:hAnsi="Times New Roman" w:cs="Times New Roman"/>
          <w:sz w:val="24"/>
          <w:szCs w:val="24"/>
        </w:rPr>
        <w:t xml:space="preserve"> </w:t>
      </w:r>
      <w:r w:rsidRPr="007D0203">
        <w:rPr>
          <w:rFonts w:ascii="Times New Roman" w:hAnsi="Times New Roman" w:cs="Times New Roman"/>
          <w:color w:val="000000"/>
          <w:sz w:val="24"/>
          <w:szCs w:val="24"/>
        </w:rPr>
        <w:t xml:space="preserve">часов по адресу: г. Москва, Павелецкая наб., д. 8, </w:t>
      </w:r>
      <w:r w:rsidR="00740B28" w:rsidRPr="007D0203">
        <w:rPr>
          <w:rFonts w:ascii="Times New Roman" w:hAnsi="Times New Roman" w:cs="Times New Roman"/>
          <w:color w:val="000000"/>
          <w:sz w:val="24"/>
          <w:szCs w:val="24"/>
        </w:rPr>
        <w:t xml:space="preserve">тел. 8 800 200-08-05, 8 800 505-80-32, эл. почта </w:t>
      </w:r>
      <w:hyperlink r:id="rId7" w:history="1">
        <w:r w:rsidR="00740B28" w:rsidRPr="007D0203">
          <w:rPr>
            <w:rStyle w:val="a4"/>
            <w:rFonts w:ascii="Times New Roman" w:hAnsi="Times New Roman"/>
            <w:sz w:val="24"/>
            <w:szCs w:val="24"/>
          </w:rPr>
          <w:t>etorgi@asv.org.ru</w:t>
        </w:r>
      </w:hyperlink>
      <w:r w:rsidRPr="007D0203">
        <w:rPr>
          <w:rFonts w:ascii="Times New Roman" w:hAnsi="Times New Roman" w:cs="Times New Roman"/>
          <w:color w:val="000000"/>
          <w:sz w:val="24"/>
          <w:szCs w:val="24"/>
        </w:rPr>
        <w:t xml:space="preserve">; у ОТ: </w:t>
      </w:r>
      <w:r w:rsidR="000F0535" w:rsidRPr="000F0535">
        <w:rPr>
          <w:rFonts w:ascii="Times New Roman" w:hAnsi="Times New Roman" w:cs="Times New Roman"/>
          <w:color w:val="000000"/>
          <w:sz w:val="24"/>
          <w:szCs w:val="24"/>
        </w:rPr>
        <w:t>Баутин Александр</w:t>
      </w:r>
      <w:r w:rsidR="000F0535">
        <w:rPr>
          <w:rFonts w:ascii="Times New Roman" w:hAnsi="Times New Roman" w:cs="Times New Roman"/>
          <w:color w:val="000000"/>
          <w:sz w:val="24"/>
          <w:szCs w:val="24"/>
        </w:rPr>
        <w:t xml:space="preserve">, </w:t>
      </w:r>
      <w:r w:rsidR="000F0535" w:rsidRPr="000F0535">
        <w:rPr>
          <w:rFonts w:ascii="Times New Roman" w:hAnsi="Times New Roman" w:cs="Times New Roman"/>
          <w:color w:val="000000"/>
          <w:sz w:val="24"/>
          <w:szCs w:val="24"/>
        </w:rPr>
        <w:t>тел. 7916-864-57-10, эл. почта: bautin@auction-house.ru</w:t>
      </w:r>
      <w:r w:rsidRPr="007D0203">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w:t>
      </w:r>
      <w:r w:rsidRPr="00697675">
        <w:rPr>
          <w:rFonts w:ascii="Times New Roman" w:hAnsi="Times New Roman" w:cs="Times New Roman"/>
          <w:color w:val="000000"/>
          <w:sz w:val="24"/>
          <w:szCs w:val="24"/>
        </w:rPr>
        <w:t xml:space="preserve"> участия в торгах.</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0125E2"/>
    <w:rsid w:val="000655A9"/>
    <w:rsid w:val="00097526"/>
    <w:rsid w:val="000F0535"/>
    <w:rsid w:val="00136CF2"/>
    <w:rsid w:val="00137FC5"/>
    <w:rsid w:val="00145293"/>
    <w:rsid w:val="0015099D"/>
    <w:rsid w:val="00151C75"/>
    <w:rsid w:val="001D79B8"/>
    <w:rsid w:val="001F039D"/>
    <w:rsid w:val="00210562"/>
    <w:rsid w:val="0024147A"/>
    <w:rsid w:val="00257B84"/>
    <w:rsid w:val="00266DD6"/>
    <w:rsid w:val="00277C2B"/>
    <w:rsid w:val="00357F4D"/>
    <w:rsid w:val="0037642D"/>
    <w:rsid w:val="003E1970"/>
    <w:rsid w:val="00410CA1"/>
    <w:rsid w:val="00467D6B"/>
    <w:rsid w:val="0047453A"/>
    <w:rsid w:val="0048363D"/>
    <w:rsid w:val="00494A7A"/>
    <w:rsid w:val="004D047C"/>
    <w:rsid w:val="0050091B"/>
    <w:rsid w:val="00500FD3"/>
    <w:rsid w:val="005246E8"/>
    <w:rsid w:val="00532A30"/>
    <w:rsid w:val="005342E4"/>
    <w:rsid w:val="005C5BB0"/>
    <w:rsid w:val="005F1F68"/>
    <w:rsid w:val="0066094B"/>
    <w:rsid w:val="00662676"/>
    <w:rsid w:val="00697675"/>
    <w:rsid w:val="006C0D0B"/>
    <w:rsid w:val="007229EA"/>
    <w:rsid w:val="00740B28"/>
    <w:rsid w:val="00761B81"/>
    <w:rsid w:val="007A1F5D"/>
    <w:rsid w:val="007A4C5F"/>
    <w:rsid w:val="007B4F04"/>
    <w:rsid w:val="007B55CF"/>
    <w:rsid w:val="007D0203"/>
    <w:rsid w:val="007F7091"/>
    <w:rsid w:val="00803558"/>
    <w:rsid w:val="00821A40"/>
    <w:rsid w:val="00865FD7"/>
    <w:rsid w:val="00886E3A"/>
    <w:rsid w:val="00924745"/>
    <w:rsid w:val="0093177B"/>
    <w:rsid w:val="00950CC9"/>
    <w:rsid w:val="009A1244"/>
    <w:rsid w:val="009C353B"/>
    <w:rsid w:val="009C4FD4"/>
    <w:rsid w:val="009E11A5"/>
    <w:rsid w:val="009E6456"/>
    <w:rsid w:val="009E7E5E"/>
    <w:rsid w:val="00A476BB"/>
    <w:rsid w:val="00A95FD6"/>
    <w:rsid w:val="00AB284E"/>
    <w:rsid w:val="00AB7409"/>
    <w:rsid w:val="00AE1E52"/>
    <w:rsid w:val="00AF25EA"/>
    <w:rsid w:val="00B0232C"/>
    <w:rsid w:val="00B4083B"/>
    <w:rsid w:val="00BC165C"/>
    <w:rsid w:val="00BD0E8E"/>
    <w:rsid w:val="00C11EFF"/>
    <w:rsid w:val="00CB638E"/>
    <w:rsid w:val="00CC76B5"/>
    <w:rsid w:val="00D62667"/>
    <w:rsid w:val="00DE0234"/>
    <w:rsid w:val="00E544EC"/>
    <w:rsid w:val="00E614D3"/>
    <w:rsid w:val="00E72AD4"/>
    <w:rsid w:val="00F16938"/>
    <w:rsid w:val="00F17038"/>
    <w:rsid w:val="00FA27DE"/>
    <w:rsid w:val="00FC4807"/>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2207</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Унгур Надежда Анатольевна</cp:lastModifiedBy>
  <cp:revision>57</cp:revision>
  <dcterms:created xsi:type="dcterms:W3CDTF">2019-07-23T07:47:00Z</dcterms:created>
  <dcterms:modified xsi:type="dcterms:W3CDTF">2025-09-05T07:57:00Z</dcterms:modified>
</cp:coreProperties>
</file>