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3FB69F40" w:rsidR="00DF60FB" w:rsidRPr="007854FC" w:rsidRDefault="00032E1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</w:t>
      </w:r>
      <w:r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Организатор торгов, ОТ), действующее на основании договора поручения с </w:t>
      </w:r>
      <w:r w:rsidRPr="00E655A2">
        <w:rPr>
          <w:rFonts w:ascii="Times New Roman" w:eastAsia="Calibri" w:hAnsi="Times New Roman" w:cs="Times New Roman"/>
          <w:sz w:val="18"/>
          <w:szCs w:val="18"/>
        </w:rPr>
        <w:t>Акционерн</w:t>
      </w:r>
      <w:r>
        <w:rPr>
          <w:rFonts w:ascii="Times New Roman" w:eastAsia="Calibri" w:hAnsi="Times New Roman" w:cs="Times New Roman"/>
          <w:sz w:val="18"/>
          <w:szCs w:val="18"/>
        </w:rPr>
        <w:t>ым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 общество</w:t>
      </w:r>
      <w:r>
        <w:rPr>
          <w:rFonts w:ascii="Times New Roman" w:eastAsia="Calibri" w:hAnsi="Times New Roman" w:cs="Times New Roman"/>
          <w:sz w:val="18"/>
          <w:szCs w:val="18"/>
        </w:rPr>
        <w:t>м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 «Акционерная лизинговая компания «Энергопромлизинг» (ОГРН 1027739122443, ИНН 6315343130, адрес: 105120, г. Москва, пер.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655A2">
        <w:rPr>
          <w:rFonts w:ascii="Times New Roman" w:eastAsia="Calibri" w:hAnsi="Times New Roman" w:cs="Times New Roman"/>
          <w:sz w:val="18"/>
          <w:szCs w:val="18"/>
        </w:rPr>
        <w:t>Наставнический, д. 17, стр. 1)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-</w:t>
      </w:r>
      <w:r w:rsidR="0058381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Должник), </w:t>
      </w:r>
      <w:r w:rsidRPr="004132A2">
        <w:rPr>
          <w:rFonts w:ascii="Times New Roman" w:eastAsia="Calibri" w:hAnsi="Times New Roman" w:cs="Times New Roman"/>
          <w:sz w:val="18"/>
          <w:szCs w:val="18"/>
        </w:rPr>
        <w:t xml:space="preserve">в лице </w:t>
      </w:r>
      <w:r w:rsidRPr="00032E1E">
        <w:rPr>
          <w:rFonts w:ascii="Times New Roman" w:eastAsia="Calibri" w:hAnsi="Times New Roman" w:cs="Times New Roman"/>
          <w:b/>
          <w:bCs/>
          <w:sz w:val="18"/>
          <w:szCs w:val="18"/>
        </w:rPr>
        <w:t>конкурсного управляющего Тилькунова Сергея Альбертовича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 (ИНН 772589182339, СНИЛС 140-885-717-78, рег. номер: 16042, адрес для направления корреспонденции: 127051, г. Москва, а/я 7), член Союза арбитражных управляющих «Авангард» (ОГРН 1027705031320, ИНН 7705479434, адрес: </w:t>
      </w:r>
      <w:r w:rsidR="001D1A23" w:rsidRPr="001D1A23">
        <w:rPr>
          <w:rFonts w:ascii="Times New Roman" w:eastAsia="Calibri" w:hAnsi="Times New Roman" w:cs="Times New Roman"/>
          <w:sz w:val="18"/>
          <w:szCs w:val="18"/>
        </w:rPr>
        <w:t>101000, г. Москва, вн. тер. г. Муниципальный округ Басманный , б-р Покровский, д 4/17, стр. 1, помещ. IV, помещ. VII</w:t>
      </w:r>
      <w:r w:rsidRPr="00E655A2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– КУ)</w:t>
      </w:r>
      <w:r w:rsidRPr="004132A2">
        <w:rPr>
          <w:rFonts w:ascii="Times New Roman" w:eastAsia="Calibri" w:hAnsi="Times New Roman" w:cs="Times New Roman"/>
          <w:sz w:val="18"/>
          <w:szCs w:val="18"/>
        </w:rPr>
        <w:t xml:space="preserve">, действующего на основании Решения </w:t>
      </w:r>
      <w:r w:rsidRPr="00E655A2">
        <w:rPr>
          <w:rFonts w:ascii="Times New Roman" w:eastAsia="Calibri" w:hAnsi="Times New Roman" w:cs="Times New Roman"/>
          <w:sz w:val="18"/>
          <w:szCs w:val="18"/>
        </w:rPr>
        <w:t xml:space="preserve">Арбитражного суда города </w:t>
      </w:r>
      <w:r w:rsidRPr="00793E46">
        <w:rPr>
          <w:rFonts w:ascii="Times New Roman" w:eastAsia="Calibri" w:hAnsi="Times New Roman" w:cs="Times New Roman"/>
          <w:sz w:val="18"/>
          <w:szCs w:val="18"/>
        </w:rPr>
        <w:t>Москвы от 16.12.2019г. (резолютивная часть объявлена 12.12.2019г.) по делу № А40-87995/19-185-99 «Б»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1D1A23" w:rsidRPr="001D1A23">
        <w:rPr>
          <w:rFonts w:ascii="Times New Roman" w:eastAsia="Calibri" w:hAnsi="Times New Roman" w:cs="Times New Roman"/>
          <w:b/>
          <w:bCs/>
          <w:sz w:val="18"/>
          <w:szCs w:val="18"/>
        </w:rPr>
        <w:t>повторных</w:t>
      </w:r>
      <w:r w:rsidR="001D1A2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210F63D2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577415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57741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D1A23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C44670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="001D1A23">
        <w:rPr>
          <w:rFonts w:ascii="Times New Roman" w:eastAsia="Calibri" w:hAnsi="Times New Roman" w:cs="Times New Roman"/>
          <w:b/>
          <w:bCs/>
          <w:sz w:val="18"/>
          <w:szCs w:val="18"/>
        </w:rPr>
        <w:t>.09.2025</w:t>
      </w:r>
      <w:r w:rsidRPr="00577415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577415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 w:rsidRPr="00577415">
        <w:rPr>
          <w:rFonts w:ascii="Times New Roman" w:eastAsia="Calibri" w:hAnsi="Times New Roman" w:cs="Times New Roman"/>
          <w:sz w:val="18"/>
          <w:szCs w:val="18"/>
        </w:rPr>
        <w:t>П</w:t>
      </w:r>
      <w:r w:rsidRPr="00577415">
        <w:rPr>
          <w:rFonts w:ascii="Times New Roman" w:eastAsia="Calibri" w:hAnsi="Times New Roman" w:cs="Times New Roman"/>
          <w:sz w:val="18"/>
          <w:szCs w:val="18"/>
        </w:rPr>
        <w:t>рием заявок составляет: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в 1-ом периоде </w:t>
      </w:r>
      <w:r w:rsidR="001D1A23">
        <w:rPr>
          <w:rFonts w:ascii="Times New Roman" w:eastAsia="Calibri" w:hAnsi="Times New Roman" w:cs="Times New Roman"/>
          <w:sz w:val="18"/>
          <w:szCs w:val="18"/>
        </w:rPr>
        <w:t>- 14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1D1A23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цать)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1D1A23">
        <w:rPr>
          <w:rFonts w:ascii="Times New Roman" w:eastAsia="Calibri" w:hAnsi="Times New Roman" w:cs="Times New Roman"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1D1A23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B16C62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bookmarkStart w:id="2" w:name="_Hlk147822090"/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1D1A23" w:rsidRPr="001D1A2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77 685 440,61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bookmarkEnd w:id="2"/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6847953F" w14:textId="1D3B103D" w:rsidR="00032E1E" w:rsidRPr="0044745B" w:rsidRDefault="000E3B7A" w:rsidP="00032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подлежит единым лотом имущество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находящееся по адресу: </w:t>
      </w:r>
      <w:r w:rsidR="00032E1E" w:rsidRPr="00261BD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Самарская область, г. Самара, Самарский район, Молодогвардейский спуск, д. 2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(далее – Имущество, Лот), начальная цена (далее – нач. цена) НДС не облагается: </w:t>
      </w:r>
      <w:r w:rsidR="00032E1E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Имущество</w:t>
      </w:r>
      <w:r w:rsidR="00032E1E" w:rsidRPr="005664CE">
        <w:t xml:space="preserve"> 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(3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3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позици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), 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bookmarkStart w:id="3" w:name="_Hlk81564877"/>
      <w:r w:rsidR="00032E1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№1 – </w:t>
      </w:r>
      <w:r w:rsidR="001D1A23" w:rsidRPr="001D1A2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119 516 062,48</w:t>
      </w:r>
      <w:r w:rsidR="001D1A2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32E1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bookmarkEnd w:id="3"/>
      <w:r w:rsidR="00032E1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32E1E" w:rsidRPr="0044745B">
        <w:rPr>
          <w:color w:val="000000" w:themeColor="text1"/>
        </w:rPr>
        <w:t xml:space="preserve"> </w:t>
      </w:r>
      <w:r w:rsidR="00032E1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Ограничения (обременения) Имущества: </w:t>
      </w:r>
      <w:r w:rsidR="00032E1E" w:rsidRP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залог в пользу АО «АК Банк», договор аренды №4А/18 от 12.04.2018г., заключенный с ООО «Группа компаний «Зеленый берег», срок аренды: с 12.04.2018г. по 12.04.2067г</w:t>
      </w:r>
      <w:r w:rsidR="00032E1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="00032E1E" w:rsidRPr="005664CE">
        <w:t xml:space="preserve"> </w:t>
      </w:r>
      <w:bookmarkStart w:id="4" w:name="_Hlk207360771"/>
      <w:r w:rsidR="001D1A23" w:rsidRPr="001D1A2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 учетом разъяснений, указанных в п. 42 Постановления Пленума №23, в случае несогласия новым приобретателем с условиями аренды, он праве прекратить указанные отношения, новый приобретатель имущества вправе отказаться от договора аренды после перехода к нему права собственности на имущество, находящегося в залоге, переданного третьему лицу в отсутствие уведомления залогового кредитора</w:t>
      </w:r>
      <w:r w:rsidR="001D1A2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="005B2D9A" w:rsidRPr="005B2D9A">
        <w:t xml:space="preserve"> </w:t>
      </w:r>
      <w:bookmarkEnd w:id="4"/>
      <w:r w:rsidR="005B2D9A" w:rsidRPr="005B2D9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Полный перечень имущества размещен в Едином федеральном реестре сведений о банкротстве по адресу http://fedresurs.ru/, а также на сайте ЭП.</w:t>
      </w:r>
    </w:p>
    <w:p w14:paraId="04837086" w14:textId="42B4E5EA" w:rsidR="00032E1E" w:rsidRDefault="00032E1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2E1E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тел.: </w:t>
      </w:r>
      <w:r w:rsidR="007E0F55" w:rsidRPr="007E0F55">
        <w:rPr>
          <w:rFonts w:ascii="Times New Roman" w:eastAsia="Calibri" w:hAnsi="Times New Roman" w:cs="Times New Roman"/>
          <w:sz w:val="18"/>
          <w:szCs w:val="18"/>
        </w:rPr>
        <w:t>8(495)626-41-31</w:t>
      </w:r>
      <w:r w:rsidRPr="00032E1E">
        <w:rPr>
          <w:rFonts w:ascii="Times New Roman" w:eastAsia="Calibri" w:hAnsi="Times New Roman" w:cs="Times New Roman"/>
          <w:sz w:val="18"/>
          <w:szCs w:val="18"/>
        </w:rPr>
        <w:t xml:space="preserve">, с документами в отношении Лота у ОТ: pf@auction-house.ru, Харланова Наталья тел. 8(927)208-21-43, </w:t>
      </w:r>
      <w:r w:rsidR="001D1A23">
        <w:rPr>
          <w:rFonts w:ascii="Times New Roman" w:eastAsia="Calibri" w:hAnsi="Times New Roman" w:cs="Times New Roman"/>
          <w:sz w:val="18"/>
          <w:szCs w:val="18"/>
        </w:rPr>
        <w:t>Комарова Ольга</w:t>
      </w:r>
      <w:r w:rsidRPr="00032E1E">
        <w:rPr>
          <w:rFonts w:ascii="Times New Roman" w:eastAsia="Calibri" w:hAnsi="Times New Roman" w:cs="Times New Roman"/>
          <w:sz w:val="18"/>
          <w:szCs w:val="18"/>
        </w:rPr>
        <w:t xml:space="preserve"> 8(967)246-44-29. </w:t>
      </w:r>
    </w:p>
    <w:p w14:paraId="57650F6B" w14:textId="47C5A623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0E3B7A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46E8746" w14:textId="459B21A3" w:rsidR="00E436DC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E651F6" w:rsidRPr="00E651F6">
        <w:rPr>
          <w:rFonts w:ascii="Times New Roman" w:eastAsia="Calibri" w:hAnsi="Times New Roman" w:cs="Times New Roman"/>
          <w:bCs/>
          <w:sz w:val="18"/>
          <w:szCs w:val="18"/>
        </w:rPr>
        <w:t>р/с 40702810801100019904 в АО «АЛЬФА-БАНК» г. Москва, БИК 044525593, к/с 30101810200000000593.</w:t>
      </w:r>
    </w:p>
    <w:p w14:paraId="07192E8F" w14:textId="4E675215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E651F6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776ACF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32E1E"/>
    <w:rsid w:val="00077066"/>
    <w:rsid w:val="000B300B"/>
    <w:rsid w:val="000D4F06"/>
    <w:rsid w:val="000E3B7A"/>
    <w:rsid w:val="000F4C3F"/>
    <w:rsid w:val="000F6CB4"/>
    <w:rsid w:val="001079DA"/>
    <w:rsid w:val="001639DC"/>
    <w:rsid w:val="001822B8"/>
    <w:rsid w:val="001864C6"/>
    <w:rsid w:val="001865AA"/>
    <w:rsid w:val="00193FF0"/>
    <w:rsid w:val="001B44AF"/>
    <w:rsid w:val="001D1A23"/>
    <w:rsid w:val="001D1E74"/>
    <w:rsid w:val="00202517"/>
    <w:rsid w:val="002201BD"/>
    <w:rsid w:val="0023065E"/>
    <w:rsid w:val="00255176"/>
    <w:rsid w:val="00262637"/>
    <w:rsid w:val="00264AEF"/>
    <w:rsid w:val="00271767"/>
    <w:rsid w:val="00271E74"/>
    <w:rsid w:val="00273CD8"/>
    <w:rsid w:val="002912FD"/>
    <w:rsid w:val="002946B8"/>
    <w:rsid w:val="00304841"/>
    <w:rsid w:val="00322D93"/>
    <w:rsid w:val="00336826"/>
    <w:rsid w:val="00370113"/>
    <w:rsid w:val="003923A0"/>
    <w:rsid w:val="003924A6"/>
    <w:rsid w:val="0040558A"/>
    <w:rsid w:val="004114C7"/>
    <w:rsid w:val="00426576"/>
    <w:rsid w:val="00456BC7"/>
    <w:rsid w:val="004575AA"/>
    <w:rsid w:val="00466664"/>
    <w:rsid w:val="00475A27"/>
    <w:rsid w:val="0048422F"/>
    <w:rsid w:val="004871D7"/>
    <w:rsid w:val="0051030A"/>
    <w:rsid w:val="005445F2"/>
    <w:rsid w:val="00544F76"/>
    <w:rsid w:val="005613B3"/>
    <w:rsid w:val="00577415"/>
    <w:rsid w:val="00577E97"/>
    <w:rsid w:val="0058381B"/>
    <w:rsid w:val="005851A8"/>
    <w:rsid w:val="00593564"/>
    <w:rsid w:val="005B2D9A"/>
    <w:rsid w:val="005F2583"/>
    <w:rsid w:val="00642549"/>
    <w:rsid w:val="006450E9"/>
    <w:rsid w:val="006468A4"/>
    <w:rsid w:val="006964A2"/>
    <w:rsid w:val="00696EAE"/>
    <w:rsid w:val="006B37C6"/>
    <w:rsid w:val="006C3601"/>
    <w:rsid w:val="00711F9E"/>
    <w:rsid w:val="00720978"/>
    <w:rsid w:val="00752BDA"/>
    <w:rsid w:val="007603DD"/>
    <w:rsid w:val="0077365D"/>
    <w:rsid w:val="00776ACF"/>
    <w:rsid w:val="007854FC"/>
    <w:rsid w:val="007D7CF3"/>
    <w:rsid w:val="007E0F55"/>
    <w:rsid w:val="00815B87"/>
    <w:rsid w:val="0087324C"/>
    <w:rsid w:val="00887B9B"/>
    <w:rsid w:val="008A25AB"/>
    <w:rsid w:val="008B5476"/>
    <w:rsid w:val="008E3A83"/>
    <w:rsid w:val="00906F89"/>
    <w:rsid w:val="00907196"/>
    <w:rsid w:val="00926696"/>
    <w:rsid w:val="00984599"/>
    <w:rsid w:val="009A1CED"/>
    <w:rsid w:val="009D1E41"/>
    <w:rsid w:val="009D306F"/>
    <w:rsid w:val="00A10F02"/>
    <w:rsid w:val="00A24884"/>
    <w:rsid w:val="00A25B38"/>
    <w:rsid w:val="00A53A79"/>
    <w:rsid w:val="00A624E7"/>
    <w:rsid w:val="00A94CA3"/>
    <w:rsid w:val="00AA0C5F"/>
    <w:rsid w:val="00AA749A"/>
    <w:rsid w:val="00AB7874"/>
    <w:rsid w:val="00B06529"/>
    <w:rsid w:val="00B06E4E"/>
    <w:rsid w:val="00B16C62"/>
    <w:rsid w:val="00B35D9F"/>
    <w:rsid w:val="00B67452"/>
    <w:rsid w:val="00B71685"/>
    <w:rsid w:val="00BA7A7C"/>
    <w:rsid w:val="00BB08B5"/>
    <w:rsid w:val="00BE6D25"/>
    <w:rsid w:val="00C440B8"/>
    <w:rsid w:val="00C44670"/>
    <w:rsid w:val="00C47DB3"/>
    <w:rsid w:val="00C50DF8"/>
    <w:rsid w:val="00C616CF"/>
    <w:rsid w:val="00C92BB6"/>
    <w:rsid w:val="00C969BC"/>
    <w:rsid w:val="00CA63E0"/>
    <w:rsid w:val="00D068CA"/>
    <w:rsid w:val="00D1321A"/>
    <w:rsid w:val="00D2103C"/>
    <w:rsid w:val="00D223C5"/>
    <w:rsid w:val="00D74A2A"/>
    <w:rsid w:val="00DA6026"/>
    <w:rsid w:val="00DB4BFE"/>
    <w:rsid w:val="00DF3F13"/>
    <w:rsid w:val="00DF60FB"/>
    <w:rsid w:val="00E137DC"/>
    <w:rsid w:val="00E24F32"/>
    <w:rsid w:val="00E436DC"/>
    <w:rsid w:val="00E476E0"/>
    <w:rsid w:val="00E651F6"/>
    <w:rsid w:val="00EE1CE5"/>
    <w:rsid w:val="00F0524D"/>
    <w:rsid w:val="00F23FD4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2025-08-29T08:42:00Z</dcterms:created>
  <dcterms:modified xsi:type="dcterms:W3CDTF">2025-09-01T08:37:00Z</dcterms:modified>
</cp:coreProperties>
</file>