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jc w:val="end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Приложение № 1 </w:t>
      </w:r>
    </w:p>
    <w:p>
      <w:pPr>
        <w:pStyle w:val="Normal"/>
        <w:ind w:end="-57" w:hanging="0"/>
        <w:jc w:val="end"/>
        <w:rPr/>
      </w:pPr>
      <w:r>
        <w:rPr>
          <w:sz w:val="22"/>
          <w:szCs w:val="22"/>
        </w:rPr>
        <w:t>к Оферте</w:t>
      </w:r>
    </w:p>
    <w:p>
      <w:pPr>
        <w:pStyle w:val="Heading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>
      <w:pPr>
        <w:pStyle w:val="Heading"/>
        <w:rPr>
          <w:b w:val="false"/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  <w:t>(договор присоединения)</w:t>
      </w:r>
    </w:p>
    <w:p>
      <w:pPr>
        <w:pStyle w:val="Heading"/>
        <w:rPr>
          <w:b w:val="false"/>
          <w:b w:val="false"/>
          <w:bCs w:val="false"/>
          <w:spacing w:val="30"/>
          <w:sz w:val="24"/>
          <w:szCs w:val="24"/>
        </w:rPr>
      </w:pPr>
      <w:r>
        <w:rPr>
          <w:b w:val="false"/>
          <w:bCs w:val="false"/>
          <w:spacing w:val="30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1145" w:leader="none"/>
        </w:tabs>
        <w:jc w:val="both"/>
        <w:rPr>
          <w:b/>
          <w:b/>
          <w:bCs/>
        </w:rPr>
      </w:pPr>
      <w:r>
        <w:rPr>
          <w:b/>
        </w:rPr>
        <w:t>Акционерное общество «Российский аукционный дом»,</w:t>
      </w:r>
      <w:r>
        <w:rPr/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bCs/>
          <w:shd w:fill="FFFFFF" w:val="clear"/>
          <w:lang w:bidi="ru-RU"/>
        </w:rPr>
        <w:t xml:space="preserve"> </w:t>
      </w:r>
      <w:r>
        <w:rPr>
          <w:b/>
          <w:bCs/>
        </w:rPr>
        <w:t>_____________________</w:t>
      </w:r>
      <w:r>
        <w:rPr>
          <w:b/>
          <w:color w:val="000000"/>
        </w:rPr>
        <w:t>, именуемый в дальнейшем «Организатор торгов»</w:t>
      </w:r>
      <w:r>
        <w:rPr>
          <w:bCs/>
          <w:color w:val="000000"/>
          <w:shd w:fill="FFFFFF" w:val="clear"/>
          <w:lang w:bidi="ru-RU"/>
        </w:rPr>
        <w:t xml:space="preserve">, </w:t>
      </w:r>
      <w:r>
        <w:rPr>
          <w:bCs/>
          <w:shd w:fill="FFFFFF" w:val="clear"/>
          <w:lang w:bidi="ru-RU"/>
        </w:rPr>
        <w:t xml:space="preserve"> </w:t>
      </w:r>
      <w:r>
        <w:rPr/>
        <w:t>и присоединившийся к настоящему Договору</w:t>
      </w:r>
      <w:r>
        <w:rPr>
          <w:b/>
          <w:bCs/>
        </w:rPr>
        <w:t xml:space="preserve"> </w:t>
      </w:r>
      <w:r>
        <w:rPr/>
        <w:t>претендент</w:t>
      </w:r>
      <w:r>
        <w:rPr>
          <w:b/>
        </w:rPr>
        <w:t xml:space="preserve"> </w:t>
      </w:r>
      <w:r>
        <w:rPr/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>
        <w:rPr>
          <w:b/>
        </w:rPr>
        <w:t xml:space="preserve">«Претендент», </w:t>
      </w:r>
      <w:r>
        <w:rPr/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ind w:firstLine="567"/>
        <w:jc w:val="both"/>
        <w:rPr/>
      </w:pPr>
      <w:r>
        <w:rPr>
          <w:color w:val="000000"/>
        </w:rPr>
        <w:t xml:space="preserve">1. В соответствии с условиями настоящего Договора Претендент для участия </w:t>
      </w:r>
      <w:r>
        <w:rPr/>
        <w:t xml:space="preserve">в торгах в форме ______ по продаже ___________________ </w:t>
      </w:r>
      <w:r>
        <w:rPr>
          <w:color w:val="000000"/>
        </w:rPr>
        <w:t xml:space="preserve">(далее – Имущество), перечисляет денежные средства </w:t>
      </w:r>
      <w:r>
        <w:rPr>
          <w:b/>
          <w:color w:val="000000"/>
        </w:rPr>
        <w:t xml:space="preserve">в размере ____% от начальной цены </w:t>
      </w:r>
      <w:r>
        <w:rPr>
          <w:b/>
          <w:bCs/>
        </w:rPr>
        <w:t xml:space="preserve">Имущества </w:t>
      </w:r>
      <w:r>
        <w:rPr/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fill="FFFFFF" w:val="clear"/>
        </w:rPr>
        <w:t xml:space="preserve"> </w:t>
      </w:r>
    </w:p>
    <w:p>
      <w:pPr>
        <w:pStyle w:val="Normal"/>
        <w:ind w:firstLine="567"/>
        <w:jc w:val="both"/>
        <w:rPr/>
      </w:pPr>
      <w:r>
        <w:rPr>
          <w:b/>
          <w:bCs/>
          <w:color w:val="000000"/>
          <w:u w:val="single"/>
        </w:rPr>
        <w:t>Получатель</w:t>
      </w:r>
      <w:r>
        <w:rPr>
          <w:b/>
          <w:bCs/>
          <w:color w:val="000000"/>
        </w:rPr>
        <w:t xml:space="preserve"> - АО «Российский аукционный дом» (ИНН 7838430413, КПП 783801001):</w:t>
      </w:r>
    </w:p>
    <w:p>
      <w:pPr>
        <w:pStyle w:val="Normal"/>
        <w:ind w:firstLine="567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р/с № 40702810355000036459 в СЕВЕРО-ЗАПАДНЫЙ БАНК ПАО СБЕРБАНК,</w:t>
      </w:r>
    </w:p>
    <w:p>
      <w:pPr>
        <w:pStyle w:val="Normal"/>
        <w:ind w:firstLine="567"/>
        <w:jc w:val="both"/>
        <w:rPr/>
      </w:pPr>
      <w:r>
        <w:rPr>
          <w:b/>
          <w:bCs/>
          <w:color w:val="000000"/>
        </w:rPr>
        <w:t>БИК 044030653, к/с 30101810500000000653.</w:t>
      </w:r>
    </w:p>
    <w:p>
      <w:pPr>
        <w:pStyle w:val="Normal"/>
        <w:ind w:firstLine="567"/>
        <w:jc w:val="both"/>
        <w:rPr/>
      </w:pPr>
      <w:r>
        <w:rPr/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rPr/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autoSpaceDE w:val="false"/>
        <w:ind w:firstLine="567"/>
        <w:jc w:val="both"/>
        <w:textAlignment w:val="baseline"/>
        <w:rPr/>
      </w:pPr>
      <w:r>
        <w:rPr>
          <w:color w:val="000000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color w:val="000000"/>
        </w:rPr>
        <w:t xml:space="preserve">Имущества </w:t>
      </w:r>
      <w:r>
        <w:rPr>
          <w:color w:val="000000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autoSpaceDE w:val="false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ind w:firstLine="567"/>
        <w:jc w:val="both"/>
        <w:rPr/>
      </w:pPr>
      <w:r>
        <w:rPr>
          <w:color w:val="000000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b/>
          <w:color w:val="000000"/>
        </w:rPr>
        <w:t>Имущества</w:t>
      </w:r>
      <w:r>
        <w:rPr>
          <w:color w:val="000000"/>
        </w:rPr>
        <w:t xml:space="preserve">, определенной по итогам торгов, </w:t>
      </w:r>
      <w:r>
        <w:rPr/>
        <w:t>и исполнения иных обязательств по заключенному договору купли-продажи имущества</w:t>
      </w:r>
      <w:r>
        <w:rPr>
          <w:color w:val="000000"/>
        </w:rPr>
        <w:t xml:space="preserve"> в случае признания Претендента победителем торгов.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ind w:firstLine="567"/>
        <w:jc w:val="both"/>
        <w:rPr/>
      </w:pPr>
      <w:r>
        <w:rPr>
          <w:color w:val="000000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ind w:firstLine="284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Реквизиты сторон:</w:t>
      </w:r>
    </w:p>
    <w:p>
      <w:pPr>
        <w:pStyle w:val="Normal"/>
        <w:autoSpaceDE w:val="false"/>
        <w:ind w:firstLine="284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824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4"/>
        <w:gridCol w:w="4274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Оператор электронной площадки:</w:t>
            </w:r>
          </w:p>
          <w:p>
            <w:pPr>
              <w:pStyle w:val="Normal"/>
              <w:rPr/>
            </w:pPr>
            <w:r>
              <w:rPr>
                <w:b/>
                <w:color w:val="000000"/>
              </w:rPr>
              <w:t>Акционерное общество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«Российский аукционный дом»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Адрес для корреспонденции: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190000 Санкт-Петербург,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пер. Гривцова, д.5, лит. В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тел. 8 (800) 777-57-57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0" w:name="_Hlk12535521"/>
            <w:r>
              <w:rPr>
                <w:color w:val="000000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р/с № 40702810355000036459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r>
              <w:rPr>
                <w:color w:val="000000"/>
              </w:rPr>
              <w:t>БИК 044030653</w:t>
            </w:r>
          </w:p>
          <w:p>
            <w:pPr>
              <w:pStyle w:val="Normal"/>
              <w:tabs>
                <w:tab w:val="clear" w:pos="708"/>
                <w:tab w:val="left" w:pos="1580" w:leader="none"/>
              </w:tabs>
              <w:rPr>
                <w:color w:val="000000"/>
              </w:rPr>
            </w:pPr>
            <w:bookmarkStart w:id="1" w:name="_Hlk12535521"/>
            <w:r>
              <w:rPr>
                <w:color w:val="000000"/>
              </w:rPr>
              <w:t>к/с 30101810500000000653</w:t>
            </w:r>
            <w:bookmarkEnd w:id="1"/>
          </w:p>
        </w:tc>
        <w:tc>
          <w:tcPr>
            <w:tcW w:w="764" w:type="dxa"/>
            <w:tcBorders/>
          </w:tcPr>
          <w:p>
            <w:pPr>
              <w:pStyle w:val="Normal"/>
              <w:snapToGrid w:val="false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7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ПРЕТЕНДЕНТ: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>
      <w:pPr>
        <w:pStyle w:val="Normal"/>
        <w:ind w:firstLine="284"/>
        <w:jc w:val="both"/>
        <w:rPr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rPr/>
      </w:pPr>
      <w:r>
        <w:rPr>
          <w:color w:val="000000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rPr>
          <w:b/>
          <w:b/>
          <w:color w:val="000000"/>
        </w:rPr>
      </w:pPr>
      <w:r>
        <w:rPr>
          <w:b/>
          <w:color w:val="000000"/>
        </w:rPr>
        <w:t xml:space="preserve">Организатор торгов </w:t>
      </w:r>
    </w:p>
    <w:p>
      <w:pPr>
        <w:pStyle w:val="Normal"/>
        <w:ind w:firstLine="70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8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От Организатора торгов </w:t>
        <w:tab/>
        <w:tab/>
        <w:tab/>
        <w:tab/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_____________________/ ____________/</w:t>
        <w:tab/>
        <w:t xml:space="preserve">                      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NTTimes/Cyrillic">
    <w:altName w:val="Times New Roman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bCs/>
      <w:i w:val="false"/>
      <w:i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/>
      <w:bCs/>
      <w:i w:val="false"/>
      <w:iCs w:val="false"/>
      <w:sz w:val="24"/>
      <w:szCs w:val="24"/>
      <w:u w:val="none"/>
    </w:rPr>
  </w:style>
  <w:style w:type="character" w:styleId="Style14">
    <w:name w:val="Основной шрифт абзаца"/>
    <w:qFormat/>
    <w:rPr/>
  </w:style>
  <w:style w:type="character" w:styleId="2">
    <w:name w:val="Основной текст 2 Знак"/>
    <w:qFormat/>
    <w:rPr>
      <w:sz w:val="24"/>
      <w:szCs w:val="24"/>
      <w:lang w:val="ru-RU" w:bidi="ar-SA"/>
    </w:rPr>
  </w:style>
  <w:style w:type="character" w:styleId="3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5">
    <w:name w:val="Название Знак"/>
    <w:qFormat/>
    <w:rPr>
      <w:b/>
      <w:bCs/>
      <w:sz w:val="28"/>
      <w:szCs w:val="28"/>
      <w:lang w:val="ru-RU" w:bidi="ar-SA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color w:val="000000"/>
    </w:rPr>
  </w:style>
  <w:style w:type="character" w:styleId="Style18">
    <w:name w:val="Тема примечания Знак"/>
    <w:qFormat/>
    <w:rPr>
      <w:b/>
      <w:bCs/>
      <w:color w:val="000000"/>
    </w:rPr>
  </w:style>
  <w:style w:type="character" w:styleId="Style19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character" w:styleId="31">
    <w:name w:val="Основной текст 3 Знак"/>
    <w:qFormat/>
    <w:rPr>
      <w:color w:val="000000"/>
      <w:sz w:val="16"/>
      <w:szCs w:val="16"/>
    </w:rPr>
  </w:style>
  <w:style w:type="character" w:styleId="Style20">
    <w:name w:val="Основной текст с отступом Знак"/>
    <w:qFormat/>
    <w:rPr>
      <w:sz w:val="24"/>
      <w:szCs w:val="24"/>
    </w:rPr>
  </w:style>
  <w:style w:type="character" w:styleId="InternetLink">
    <w:name w:val="Hyperlink"/>
    <w:rPr>
      <w:color w:val="0000FF"/>
      <w:u w:val="single"/>
    </w:rPr>
  </w:style>
  <w:style w:type="character" w:styleId="Style21">
    <w:name w:val="Основной текст_"/>
    <w:qFormat/>
    <w:rPr>
      <w:shd w:fill="FFFFFF" w:val="clear"/>
    </w:rPr>
  </w:style>
  <w:style w:type="character" w:styleId="Style22">
    <w:name w:val="Основной текст +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fill="FFFFFF" w:val="clear"/>
      <w:vertAlign w:val="baseline"/>
      <w:lang w:val="ru-RU"/>
    </w:rPr>
  </w:style>
  <w:style w:type="character" w:styleId="21">
    <w:name w:val="Основной текст (2) + Не полужирный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fill="FFFFFF" w:val="clear"/>
      <w:vertAlign w:val="baseline"/>
      <w:lang w:val="ru-RU"/>
    </w:rPr>
  </w:style>
  <w:style w:type="character" w:styleId="Style23">
    <w:name w:val="Верх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yle24">
    <w:name w:val="Нижний колонтитул Знак"/>
    <w:qFormat/>
    <w:rPr>
      <w:rFonts w:ascii="NTTimes/Cyrillic;Times New Roman" w:hAnsi="NTTimes/Cyrillic;Times New Roman" w:cs="NTTimes/Cyrillic;Times New Roman"/>
      <w:sz w:val="24"/>
      <w:szCs w:val="24"/>
      <w:lang w:val="en-US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autoSpaceDE w:val="false"/>
      <w:jc w:val="center"/>
    </w:pPr>
    <w:rPr>
      <w:b/>
      <w:bCs/>
      <w:color w:val="000000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color w:val="000000"/>
    </w:rPr>
  </w:style>
  <w:style w:type="paragraph" w:styleId="32">
    <w:name w:val="Основной текст с отступом 3"/>
    <w:basedOn w:val="Normal"/>
    <w:qFormat/>
    <w:pPr>
      <w:spacing w:before="0" w:after="120"/>
      <w:ind w:start="283" w:hanging="0"/>
    </w:pPr>
    <w:rPr>
      <w:color w:val="000000"/>
      <w:sz w:val="16"/>
      <w:szCs w:val="16"/>
    </w:rPr>
  </w:style>
  <w:style w:type="paragraph" w:styleId="BodyText2">
    <w:name w:val="Body Text 2"/>
    <w:basedOn w:val="Normal"/>
    <w:qFormat/>
    <w:pPr>
      <w:overflowPunct w:val="false"/>
      <w:autoSpaceDE w:val="false"/>
      <w:ind w:firstLine="567"/>
      <w:jc w:val="both"/>
      <w:textAlignment w:val="baseline"/>
    </w:pPr>
    <w:rPr>
      <w:color w:val="000000"/>
      <w:sz w:val="22"/>
      <w:szCs w:val="20"/>
    </w:rPr>
  </w:style>
  <w:style w:type="paragraph" w:styleId="Style25">
    <w:name w:val="Текст примечания"/>
    <w:basedOn w:val="Normal"/>
    <w:qFormat/>
    <w:pPr/>
    <w:rPr>
      <w:sz w:val="20"/>
      <w:szCs w:val="20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Style2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pPr>
      <w:ind w:end="-57" w:firstLine="720"/>
      <w:jc w:val="both"/>
    </w:pPr>
    <w:rPr>
      <w:color w:val="000000"/>
    </w:rPr>
  </w:style>
  <w:style w:type="paragraph" w:styleId="23">
    <w:name w:val="Основной текст2"/>
    <w:basedOn w:val="Normal"/>
    <w:qFormat/>
    <w:pPr>
      <w:widowControl w:val="false"/>
      <w:shd w:fill="FFFFFF" w:val="clear"/>
      <w:spacing w:lineRule="exact" w:line="274" w:before="300" w:after="0"/>
      <w:ind w:hanging="1140"/>
      <w:jc w:val="both"/>
    </w:pPr>
    <w:rPr>
      <w:color w:val="000000"/>
      <w:sz w:val="20"/>
      <w:szCs w:val="20"/>
    </w:rPr>
  </w:style>
  <w:style w:type="paragraph" w:styleId="Style28">
    <w:name w:val="Рецензия"/>
    <w:qFormat/>
    <w:pPr>
      <w:widowControl/>
      <w:bidi w:val="0"/>
    </w:pPr>
    <w:rPr>
      <w:rFonts w:ascii="NTTimes/Cyrillic;Times New Roman" w:hAnsi="NTTimes/Cyrillic;Times New Roman" w:eastAsia="Times New Roman" w:cs="NTTimes/Cyrillic;Times New Roman"/>
      <w:color w:val="auto"/>
      <w:sz w:val="24"/>
      <w:szCs w:val="24"/>
      <w:lang w:val="en-US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NTTimes/Cyrillic;Times New Roman" w:hAnsi="NTTimes/Cyrillic;Times New Roman" w:cs="NTTimes/Cyrillic;Times New Roman"/>
      <w:color w:val="00000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LibreOffice/6.4.3.2$Linux_X86_64 LibreOffice_project/747b5d0ebf89f41c860ec2a39efd7cb15b54f2d8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2021-05-12T05:12:00Z</dcterms:created>
  <dc:creator>upr12</dc:creator>
  <dc:description/>
  <cp:keywords/>
  <dc:language>en-US</dc:language>
  <cp:lastModifiedBy>Канцерова Елена</cp:lastModifiedBy>
  <dcterms:modified xsi:type="dcterms:W3CDTF">2021-05-12T05:12:00Z</dcterms:modified>
  <cp:revision>2</cp:revision>
  <dc:subject/>
  <dc:title>Договор о задатке №____</dc:title>
</cp:coreProperties>
</file>