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AC86" w14:textId="7D61EC2C" w:rsidR="00AF4511" w:rsidRPr="002335F0" w:rsidRDefault="00F50EC2" w:rsidP="00622CD7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proofErr w:type="spellStart"/>
      <w:r w:rsidRPr="002335F0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2335F0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2335F0">
        <w:rPr>
          <w:rFonts w:ascii="Times New Roman" w:hAnsi="Times New Roman" w:cs="Times New Roman"/>
          <w:sz w:val="20"/>
          <w:szCs w:val="20"/>
        </w:rPr>
        <w:t>auction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2335F0">
        <w:rPr>
          <w:rFonts w:ascii="Times New Roman" w:hAnsi="Times New Roman" w:cs="Times New Roman"/>
          <w:sz w:val="20"/>
          <w:szCs w:val="20"/>
        </w:rPr>
        <w:t>house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2335F0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2335F0">
        <w:rPr>
          <w:rFonts w:ascii="Times New Roman" w:hAnsi="Times New Roman" w:cs="Times New Roman"/>
          <w:sz w:val="20"/>
          <w:szCs w:val="20"/>
          <w:lang w:val="ru-RU"/>
        </w:rPr>
        <w:t>, далее –</w:t>
      </w:r>
      <w:r w:rsidR="007872D5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32C40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АО «РАД», 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ОТ), действующее на </w:t>
      </w:r>
      <w:proofErr w:type="spellStart"/>
      <w:r w:rsidRPr="002335F0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7872D5" w:rsidRPr="002335F0">
        <w:rPr>
          <w:rFonts w:ascii="Times New Roman" w:hAnsi="Times New Roman" w:cs="Times New Roman"/>
          <w:b/>
          <w:sz w:val="20"/>
          <w:szCs w:val="20"/>
          <w:lang w:val="ru-RU"/>
        </w:rPr>
        <w:t>ООО «</w:t>
      </w:r>
      <w:r w:rsidR="002335F0" w:rsidRPr="002335F0">
        <w:rPr>
          <w:rFonts w:ascii="Times New Roman" w:hAnsi="Times New Roman" w:cs="Times New Roman"/>
          <w:b/>
          <w:sz w:val="20"/>
          <w:szCs w:val="20"/>
          <w:lang w:val="ru-RU"/>
        </w:rPr>
        <w:t>ТУТТА</w:t>
      </w:r>
      <w:r w:rsidR="007872D5"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 w:rsidR="0049569B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>(</w:t>
      </w:r>
      <w:r w:rsidR="00BC62C1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ИНН </w:t>
      </w:r>
      <w:r w:rsidR="002335F0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>2721195455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Должник), </w:t>
      </w: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2335F0" w:rsidRPr="002335F0">
        <w:rPr>
          <w:rFonts w:ascii="Times New Roman" w:hAnsi="Times New Roman" w:cs="Times New Roman"/>
          <w:b/>
          <w:sz w:val="20"/>
          <w:szCs w:val="20"/>
          <w:lang w:val="ru-RU"/>
        </w:rPr>
        <w:t>Панфиловой А.А.</w:t>
      </w:r>
      <w:r w:rsidR="007872D5"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33936" w:rsidRPr="002335F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(ИНН </w:t>
      </w:r>
      <w:r w:rsidR="002335F0" w:rsidRPr="002335F0">
        <w:rPr>
          <w:rFonts w:ascii="Times New Roman" w:hAnsi="Times New Roman" w:cs="Times New Roman"/>
          <w:bCs/>
          <w:sz w:val="20"/>
          <w:szCs w:val="20"/>
          <w:lang w:val="ru-RU"/>
        </w:rPr>
        <w:t>270399132942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КУ), член </w:t>
      </w:r>
      <w:r w:rsidR="002335F0" w:rsidRPr="002335F0">
        <w:rPr>
          <w:rFonts w:ascii="Times New Roman" w:hAnsi="Times New Roman" w:cs="Times New Roman"/>
          <w:sz w:val="20"/>
          <w:szCs w:val="20"/>
          <w:lang w:val="ru-RU"/>
        </w:rPr>
        <w:t>Союза «МЦАУ»</w:t>
      </w:r>
      <w:r w:rsidR="00586008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2335F0" w:rsidRPr="002335F0">
        <w:rPr>
          <w:rFonts w:ascii="Times New Roman" w:hAnsi="Times New Roman" w:cs="Times New Roman"/>
          <w:sz w:val="20"/>
          <w:szCs w:val="20"/>
          <w:lang w:val="ru-RU"/>
        </w:rPr>
        <w:t>7604200693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r w:rsidRPr="00F832BA">
        <w:rPr>
          <w:rFonts w:ascii="Times New Roman" w:hAnsi="Times New Roman" w:cs="Times New Roman"/>
          <w:sz w:val="20"/>
          <w:szCs w:val="20"/>
          <w:lang w:val="ru-RU"/>
        </w:rPr>
        <w:t>действующе</w:t>
      </w:r>
      <w:r w:rsidR="002335F0" w:rsidRPr="00F832BA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Pr="00F832BA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F832BA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F832B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2335F0" w:rsidRPr="00F832BA">
        <w:rPr>
          <w:rFonts w:ascii="Times New Roman" w:hAnsi="Times New Roman" w:cs="Times New Roman"/>
          <w:sz w:val="20"/>
          <w:szCs w:val="20"/>
          <w:lang w:val="ru-RU"/>
        </w:rPr>
        <w:t>Решения Арбитражного суда города Москвы от 13.05.2021 по делу №А40-165463/19-179-200 Б</w:t>
      </w:r>
      <w:r w:rsidR="00957EC1" w:rsidRPr="00F832BA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F832BA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D94474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</w:t>
      </w:r>
      <w:r w:rsidR="00F832BA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9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832BA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132C40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r w:rsidR="00336DC2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на электронной торговой площадке АО «Р</w:t>
      </w:r>
      <w:r w:rsidR="00132C40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АД</w:t>
      </w:r>
      <w:r w:rsidR="001342BD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» по адресу в сети Интернет: </w:t>
      </w:r>
      <w:hyperlink r:id="rId8" w:history="1">
        <w:r w:rsidR="005E4B93" w:rsidRPr="00F832BA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F832BA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F832BA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F832BA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F832BA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F832BA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5E4B93" w:rsidRPr="00F832BA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  <w:r w:rsidR="005E4B93" w:rsidRPr="00F832BA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- ЭП) путем </w:t>
      </w:r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F832BA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31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D94474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</w:t>
      </w:r>
      <w:r w:rsidR="00F832BA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8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132C40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F832BA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832BA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132C40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F832B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D94474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</w:t>
      </w:r>
      <w:r w:rsidR="00F832BA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8</w:t>
      </w:r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F832BA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10</w:t>
      </w:r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132C40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5</w:t>
      </w:r>
      <w:r w:rsidR="007A6882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</w:t>
      </w:r>
      <w:r w:rsidR="00957EC1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F832B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bookmarkStart w:id="0" w:name="_Hlk192151289"/>
      <w:r w:rsidR="00EC16CA" w:rsidRPr="00F832B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Начальная цена</w:t>
      </w:r>
      <w:r w:rsidR="002335F0" w:rsidRPr="00F832B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(далее – Нач. цена)</w:t>
      </w:r>
      <w:r w:rsidR="00EC16CA" w:rsidRPr="00F832B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: Лот 1 – </w:t>
      </w:r>
      <w:r w:rsidR="002335F0" w:rsidRPr="00F832B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179 559,19 </w:t>
      </w:r>
      <w:r w:rsidR="00EC16CA" w:rsidRPr="00F832B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руб.;</w:t>
      </w:r>
      <w:r w:rsidR="00EC16CA" w:rsidRPr="002335F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Лот 2 - </w:t>
      </w:r>
      <w:r w:rsidR="002335F0" w:rsidRPr="002335F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4 358 000,00 </w:t>
      </w:r>
      <w:r w:rsidR="00EC16CA" w:rsidRPr="002335F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руб.</w:t>
      </w:r>
    </w:p>
    <w:bookmarkEnd w:id="0"/>
    <w:p w14:paraId="0099F267" w14:textId="43CFE838" w:rsidR="001D60D5" w:rsidRPr="00021414" w:rsidRDefault="00BF7633" w:rsidP="001D60D5">
      <w:pP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832BA">
        <w:rPr>
          <w:rFonts w:ascii="Times New Roman" w:hAnsi="Times New Roman" w:cs="Times New Roman"/>
          <w:sz w:val="20"/>
          <w:szCs w:val="20"/>
          <w:lang w:val="ru-RU"/>
        </w:rPr>
        <w:t xml:space="preserve">В случае, если по итогам Торгов, назначенных на </w:t>
      </w:r>
      <w:r w:rsidR="00D94474" w:rsidRPr="00F832BA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F832BA" w:rsidRPr="00F832BA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F832BA" w:rsidRPr="00F832BA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132C40" w:rsidRPr="00F832BA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F832BA">
        <w:rPr>
          <w:rFonts w:ascii="Times New Roman" w:hAnsi="Times New Roman" w:cs="Times New Roman"/>
          <w:sz w:val="20"/>
          <w:szCs w:val="20"/>
          <w:lang w:val="ru-RU"/>
        </w:rPr>
        <w:t xml:space="preserve">, Лоты не реализованы, ОТ сообщает 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 проведении </w:t>
      </w:r>
      <w:r w:rsidR="00F832BA" w:rsidRPr="00F832BA">
        <w:rPr>
          <w:rFonts w:ascii="Times New Roman" w:hAnsi="Times New Roman" w:cs="Times New Roman"/>
          <w:b/>
          <w:sz w:val="20"/>
          <w:szCs w:val="20"/>
          <w:lang w:val="ru-RU"/>
        </w:rPr>
        <w:t>01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F832BA" w:rsidRPr="00F832BA">
        <w:rPr>
          <w:rFonts w:ascii="Times New Roman" w:hAnsi="Times New Roman" w:cs="Times New Roman"/>
          <w:b/>
          <w:sz w:val="20"/>
          <w:szCs w:val="20"/>
          <w:lang w:val="ru-RU"/>
        </w:rPr>
        <w:t>12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132C40" w:rsidRPr="00F832BA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10 час. 00 мин. повторных открытых электронных торгов</w:t>
      </w:r>
      <w:r w:rsidRPr="00F832BA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>повторные Торги</w:t>
      </w:r>
      <w:r w:rsidRPr="00F832BA">
        <w:rPr>
          <w:rFonts w:ascii="Times New Roman" w:hAnsi="Times New Roman" w:cs="Times New Roman"/>
          <w:sz w:val="20"/>
          <w:szCs w:val="20"/>
          <w:lang w:val="ru-RU"/>
        </w:rPr>
        <w:t xml:space="preserve">) на ЭП </w:t>
      </w:r>
      <w:r w:rsidR="001D60D5" w:rsidRPr="00F832BA">
        <w:rPr>
          <w:rFonts w:ascii="Times New Roman" w:hAnsi="Times New Roman" w:cs="Times New Roman"/>
          <w:sz w:val="20"/>
          <w:szCs w:val="20"/>
          <w:lang w:val="ru-RU"/>
        </w:rPr>
        <w:t xml:space="preserve">путем проведения аукциона, открытого по составу участников с открытой формой подачи предложений о цене. 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F832BA" w:rsidRPr="00F832BA">
        <w:rPr>
          <w:rFonts w:ascii="Times New Roman" w:hAnsi="Times New Roman" w:cs="Times New Roman"/>
          <w:b/>
          <w:sz w:val="20"/>
          <w:szCs w:val="20"/>
          <w:lang w:val="ru-RU"/>
        </w:rPr>
        <w:t>19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F832BA" w:rsidRPr="00F832BA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132C40" w:rsidRPr="00F832BA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</w:t>
      </w:r>
      <w:r w:rsidR="00F832BA" w:rsidRPr="00F832BA">
        <w:rPr>
          <w:rFonts w:ascii="Times New Roman" w:hAnsi="Times New Roman" w:cs="Times New Roman"/>
          <w:b/>
          <w:sz w:val="20"/>
          <w:szCs w:val="20"/>
          <w:lang w:val="ru-RU"/>
        </w:rPr>
        <w:t>25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F832BA" w:rsidRPr="00F832BA">
        <w:rPr>
          <w:rFonts w:ascii="Times New Roman" w:hAnsi="Times New Roman" w:cs="Times New Roman"/>
          <w:b/>
          <w:sz w:val="20"/>
          <w:szCs w:val="20"/>
          <w:lang w:val="ru-RU"/>
        </w:rPr>
        <w:t>11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132C40" w:rsidRPr="00F832BA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F832B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до 23 час 00 мин.</w:t>
      </w:r>
      <w:r w:rsidRPr="00F832BA">
        <w:rPr>
          <w:rFonts w:ascii="Times New Roman" w:hAnsi="Times New Roman" w:cs="Times New Roman"/>
          <w:sz w:val="20"/>
          <w:szCs w:val="20"/>
          <w:lang w:val="ru-RU"/>
        </w:rPr>
        <w:t xml:space="preserve"> Определение участников повторных Торгов – </w:t>
      </w:r>
      <w:r w:rsidR="00F832BA" w:rsidRPr="00F832BA">
        <w:rPr>
          <w:rFonts w:ascii="Times New Roman" w:hAnsi="Times New Roman" w:cs="Times New Roman"/>
          <w:sz w:val="20"/>
          <w:szCs w:val="20"/>
          <w:lang w:val="ru-RU"/>
        </w:rPr>
        <w:t>28</w:t>
      </w:r>
      <w:r w:rsidRPr="00060A8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F832BA" w:rsidRPr="00060A84">
        <w:rPr>
          <w:rFonts w:ascii="Times New Roman" w:hAnsi="Times New Roman" w:cs="Times New Roman"/>
          <w:sz w:val="20"/>
          <w:szCs w:val="20"/>
          <w:lang w:val="ru-RU"/>
        </w:rPr>
        <w:t>11</w:t>
      </w:r>
      <w:r w:rsidRPr="00060A84">
        <w:rPr>
          <w:rFonts w:ascii="Times New Roman" w:hAnsi="Times New Roman" w:cs="Times New Roman"/>
          <w:sz w:val="20"/>
          <w:szCs w:val="20"/>
          <w:lang w:val="ru-RU"/>
        </w:rPr>
        <w:t>.202</w:t>
      </w:r>
      <w:r w:rsidR="00132C40" w:rsidRPr="00060A84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060A8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021414">
        <w:rPr>
          <w:rFonts w:ascii="Times New Roman" w:hAnsi="Times New Roman" w:cs="Times New Roman"/>
          <w:sz w:val="20"/>
          <w:szCs w:val="20"/>
          <w:lang w:val="ru-RU"/>
        </w:rPr>
        <w:t xml:space="preserve">оформляется протоколом об определении участников торгов. </w:t>
      </w:r>
      <w:r w:rsidR="001D60D5" w:rsidRPr="0002141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Нач</w:t>
      </w:r>
      <w:r w:rsidR="00F832BA" w:rsidRPr="0002141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.</w:t>
      </w:r>
      <w:r w:rsidR="001D60D5" w:rsidRPr="0002141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цена на повторных </w:t>
      </w:r>
      <w:r w:rsidR="001D60D5" w:rsidRPr="0002141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Торгах: Лот 1 – </w:t>
      </w:r>
      <w:r w:rsidR="00F832BA" w:rsidRPr="00021414">
        <w:rPr>
          <w:rFonts w:ascii="Times New Roman" w:hAnsi="Times New Roman" w:cs="Times New Roman"/>
          <w:b/>
          <w:bCs/>
          <w:sz w:val="20"/>
          <w:szCs w:val="20"/>
          <w:lang w:val="ru-RU"/>
        </w:rPr>
        <w:t>161 603,27</w:t>
      </w:r>
      <w:r w:rsidR="001D60D5" w:rsidRPr="0002141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руб.; Лот 2 </w:t>
      </w:r>
      <w:r w:rsidR="00F832BA" w:rsidRPr="00021414">
        <w:rPr>
          <w:rFonts w:ascii="Times New Roman" w:hAnsi="Times New Roman" w:cs="Times New Roman"/>
          <w:b/>
          <w:bCs/>
          <w:sz w:val="20"/>
          <w:szCs w:val="20"/>
          <w:lang w:val="ru-RU"/>
        </w:rPr>
        <w:t>–</w:t>
      </w:r>
      <w:r w:rsidR="001D60D5" w:rsidRPr="0002141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F832BA" w:rsidRPr="0002141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3 922 200 </w:t>
      </w:r>
      <w:r w:rsidR="001D60D5" w:rsidRPr="00021414">
        <w:rPr>
          <w:rFonts w:ascii="Times New Roman" w:hAnsi="Times New Roman" w:cs="Times New Roman"/>
          <w:b/>
          <w:bCs/>
          <w:sz w:val="20"/>
          <w:szCs w:val="20"/>
          <w:lang w:val="ru-RU"/>
        </w:rPr>
        <w:t>руб.</w:t>
      </w:r>
    </w:p>
    <w:p w14:paraId="59CA24CB" w14:textId="03663EC0" w:rsidR="00305A1E" w:rsidRPr="00583B2A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val="ru-RU"/>
        </w:rPr>
      </w:pPr>
      <w:r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В случае признания Торгов, повторных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Торгов несостоявшимися, на ЭП проводятся </w:t>
      </w:r>
      <w:r w:rsidRPr="00F832BA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торги посредством публичного предложения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(далее – </w:t>
      </w:r>
      <w:r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F832BA"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>08</w:t>
      </w:r>
      <w:r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F832BA"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>12</w:t>
      </w:r>
      <w:r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132C40"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>5</w:t>
      </w:r>
      <w:r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 17</w:t>
      </w:r>
      <w:r w:rsidR="002A1222"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F832B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940788"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Лотов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3A29A2"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6D39B9"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6D39B9"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Pr="00F832B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</w:t>
      </w:r>
      <w:r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начала приема заявок</w:t>
      </w:r>
      <w:r w:rsidR="00594348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0E14C3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с</w:t>
      </w:r>
      <w:r w:rsidR="00431433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0E14C3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</w:t>
      </w:r>
      <w:r w:rsidR="003A29A2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по </w:t>
      </w:r>
      <w:r w:rsidR="00F832BA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="003A29A2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F832BA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ы</w:t>
      </w:r>
      <w:r w:rsidR="003A29A2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й </w:t>
      </w:r>
      <w:r w:rsidR="009947C1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период</w:t>
      </w:r>
      <w:r w:rsidR="0096021D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ы</w:t>
      </w:r>
      <w:r w:rsidR="009947C1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594348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– </w:t>
      </w:r>
      <w:r w:rsidR="0096021D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7</w:t>
      </w:r>
      <w:r w:rsidR="00594348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6021D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="00594348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96021D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="00594348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, величина снижения</w:t>
      </w:r>
      <w:r w:rsidR="009947C1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6021D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– 7</w:t>
      </w:r>
      <w:r w:rsidR="00940788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% </w:t>
      </w:r>
      <w:r w:rsidR="0096021D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от нач. цены публичного предложения на 1-</w:t>
      </w:r>
      <w:r w:rsidR="00B777F0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96021D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м периоде Торгов ППП. </w:t>
      </w:r>
      <w:r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Минимальная цена (цена отсечения)</w:t>
      </w:r>
      <w:r w:rsidR="00B659D0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: Лот 1</w:t>
      </w:r>
      <w:r w:rsidR="00940788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="00060A84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116 354,36 </w:t>
      </w:r>
      <w:r w:rsidR="00B659D0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руб.; Лот 2 - </w:t>
      </w:r>
      <w:r w:rsidR="00021414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2 823 984,00 </w:t>
      </w:r>
      <w:r w:rsidR="00B659D0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руб</w:t>
      </w:r>
      <w:r w:rsidR="00B777F0"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  <w:r w:rsidRPr="00021414">
        <w:rPr>
          <w:rFonts w:ascii="Times New Roman" w:eastAsia="Calibri" w:hAnsi="Times New Roman" w:cs="Times New Roman"/>
          <w:sz w:val="20"/>
          <w:szCs w:val="20"/>
          <w:lang w:val="ru-RU"/>
        </w:rPr>
        <w:t>Заявки</w:t>
      </w:r>
      <w:r w:rsidRPr="00060A8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060A8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060A8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060A8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060A8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060A8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14:paraId="3AF272D4" w14:textId="4DEABBFF" w:rsidR="00AD0137" w:rsidRPr="002335F0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14:paraId="022BF993" w14:textId="752E2DF5" w:rsidR="00305A1E" w:rsidRPr="002335F0" w:rsidRDefault="008E43BD" w:rsidP="00B659D0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335F0" w:rsidRPr="002335F0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Право требования к ООО «Склад ВЛ»</w:t>
      </w:r>
      <w:r w:rsidR="002335F0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(ИНН 2536312990): в размере 136 237,04 руб., подтверждено Решением Арбитражного суда Хабаровского края от 07.12.2023 по делу №А73-12024/2023; в размере 43 322,15 руб., подтверждено Определением Арбитражного суда Хабаровского края от 15.03.2024 по делу №А73-12024/2023.</w:t>
      </w:r>
    </w:p>
    <w:p w14:paraId="6C12259C" w14:textId="130C3DCA" w:rsidR="00AD0137" w:rsidRPr="002335F0" w:rsidRDefault="00AD0137" w:rsidP="00532560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>Лот 2: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335F0" w:rsidRPr="002335F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Право требования к Саргсяну Вардану </w:t>
      </w:r>
      <w:proofErr w:type="spellStart"/>
      <w:r w:rsidR="002335F0" w:rsidRPr="002335F0">
        <w:rPr>
          <w:rFonts w:ascii="Times New Roman" w:hAnsi="Times New Roman" w:cs="Times New Roman"/>
          <w:b/>
          <w:bCs/>
          <w:sz w:val="20"/>
          <w:szCs w:val="20"/>
          <w:lang w:val="ru-RU"/>
        </w:rPr>
        <w:t>Мануковичу</w:t>
      </w:r>
      <w:proofErr w:type="spellEnd"/>
      <w:r w:rsidR="002335F0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(ИНН 272403628673) в размере 4 358 000,00 руб., подтверждено Определения Арбитражного суда города Москвы от 10.08.2023 по делу №А40-165463/19-179-200 Б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E39B5EF" w14:textId="4B780EF1" w:rsidR="002335F0" w:rsidRPr="00505367" w:rsidRDefault="002335F0" w:rsidP="00BF763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 w:bidi="ru-RU"/>
        </w:rPr>
      </w:pPr>
      <w:r w:rsidRPr="00505367">
        <w:rPr>
          <w:rFonts w:ascii="Times New Roman" w:hAnsi="Times New Roman" w:cs="Times New Roman"/>
          <w:sz w:val="20"/>
          <w:szCs w:val="20"/>
          <w:lang w:val="ru-RU" w:bidi="ru-RU"/>
        </w:rPr>
        <w:t>Ознакомление с документами в отношении Лотов производится в раб</w:t>
      </w:r>
      <w:r w:rsidR="00505367" w:rsidRPr="00505367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  <w:r w:rsidRPr="00505367">
        <w:rPr>
          <w:rFonts w:ascii="Times New Roman" w:hAnsi="Times New Roman" w:cs="Times New Roman"/>
          <w:sz w:val="20"/>
          <w:szCs w:val="20"/>
          <w:lang w:val="ru-RU" w:bidi="ru-RU"/>
        </w:rPr>
        <w:t xml:space="preserve"> дни с 09:00 часов по 17:00 часов по Владивостокскому времени посредством направления запроса на эл</w:t>
      </w:r>
      <w:r w:rsidR="00505367" w:rsidRPr="00505367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  <w:r w:rsidRPr="00505367">
        <w:rPr>
          <w:rFonts w:ascii="Times New Roman" w:hAnsi="Times New Roman" w:cs="Times New Roman"/>
          <w:sz w:val="20"/>
          <w:szCs w:val="20"/>
          <w:lang w:val="ru-RU" w:bidi="ru-RU"/>
        </w:rPr>
        <w:t xml:space="preserve"> почту: arbitr.org@mail.ru, тел.: +79141738591 (Панфилова Алиса Александровна)</w:t>
      </w:r>
      <w:r w:rsidR="00505367" w:rsidRPr="00505367">
        <w:rPr>
          <w:rFonts w:ascii="Times New Roman" w:hAnsi="Times New Roman" w:cs="Times New Roman"/>
          <w:sz w:val="20"/>
          <w:szCs w:val="20"/>
          <w:lang w:val="ru-RU" w:bidi="ru-RU"/>
        </w:rPr>
        <w:t xml:space="preserve">, а также ОТ: тел. 7(967)246-44-08, эл. почта: </w:t>
      </w:r>
      <w:hyperlink r:id="rId9" w:history="1">
        <w:r w:rsidR="00505367" w:rsidRPr="00505367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kirillova@auction-house.ru</w:t>
        </w:r>
      </w:hyperlink>
      <w:r w:rsidR="00505367" w:rsidRPr="00505367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</w:p>
    <w:p w14:paraId="3906298D" w14:textId="4A4CC64C" w:rsidR="009B6635" w:rsidRDefault="00957EC1" w:rsidP="006818E4">
      <w:pPr>
        <w:ind w:firstLine="6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2335F0" w:rsidRPr="002335F0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2335F0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2335F0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2335F0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2335F0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2335F0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оргов ППП – </w:t>
      </w:r>
      <w:r w:rsidR="007872D5" w:rsidRPr="002335F0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5160D8" w:rsidRPr="002335F0">
        <w:rPr>
          <w:rFonts w:ascii="Times New Roman" w:hAnsi="Times New Roman" w:cs="Times New Roman"/>
          <w:b/>
          <w:sz w:val="20"/>
          <w:szCs w:val="20"/>
          <w:lang w:val="ru-RU"/>
        </w:rPr>
        <w:t>% от нач</w:t>
      </w:r>
      <w:r w:rsidR="002A1222" w:rsidRPr="002335F0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2335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2335F0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2335F0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</w:t>
      </w:r>
      <w:r w:rsidR="007872D5" w:rsidRPr="002335F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5160D8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не позднее даты и времени окончания приема за</w:t>
      </w:r>
      <w:r w:rsidR="00622CD7" w:rsidRPr="002335F0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2335F0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2335F0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7872D5" w:rsidRPr="002335F0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</w:t>
      </w:r>
      <w:r w:rsidR="005067CC" w:rsidRPr="002335F0">
        <w:rPr>
          <w:rFonts w:ascii="Times New Roman" w:hAnsi="Times New Roman" w:cs="Times New Roman"/>
          <w:sz w:val="20"/>
          <w:szCs w:val="20"/>
          <w:lang w:val="ru-RU"/>
        </w:rPr>
        <w:t>АД</w:t>
      </w:r>
      <w:r w:rsidR="007872D5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="00E204DE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7872D5" w:rsidRPr="002335F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E204DE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7872D5" w:rsidRPr="002335F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E204DE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B0EDD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6818E4" w:rsidRPr="006818E4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2595D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2335F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DE2CE1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A33CAF" w:rsidRPr="006818E4">
        <w:rPr>
          <w:rFonts w:ascii="Times New Roman" w:hAnsi="Times New Roman" w:cs="Times New Roman"/>
          <w:sz w:val="20"/>
          <w:szCs w:val="20"/>
          <w:lang w:val="ru-RU"/>
        </w:rPr>
        <w:t>повторных Торгов</w:t>
      </w:r>
      <w:r w:rsidRPr="006818E4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6818E4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6818E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818E4" w:rsidRPr="006818E4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Торгов ППП признается участник торгов, который представил в установленный срок заявку на участие в торгах,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 победителем Торгов ППП, признается участник, предложивший </w:t>
      </w:r>
      <w:r w:rsidR="006818E4" w:rsidRPr="006818E4">
        <w:rPr>
          <w:rFonts w:ascii="Times New Roman" w:hAnsi="Times New Roman" w:cs="Times New Roman"/>
          <w:sz w:val="20"/>
          <w:szCs w:val="20"/>
          <w:lang w:val="ru-RU"/>
        </w:rPr>
        <w:lastRenderedPageBreak/>
        <w:t>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</w:t>
      </w:r>
      <w:r w:rsidR="006818E4" w:rsidRPr="006818E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B6635" w:rsidRPr="006818E4">
        <w:rPr>
          <w:rFonts w:ascii="Times New Roman" w:hAnsi="Times New Roman" w:cs="Times New Roman"/>
          <w:sz w:val="20"/>
          <w:szCs w:val="20"/>
          <w:lang w:val="ru-RU"/>
        </w:rPr>
        <w:t>В случае изменения размера права требования, входящего в состав лота, в связи с вынесением соответствующего судебного акта в отношении такого требования, частичным удовлетворением требования,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</w:t>
      </w:r>
      <w:r w:rsidR="009B6635" w:rsidRPr="009B6635">
        <w:rPr>
          <w:rFonts w:ascii="Times New Roman" w:hAnsi="Times New Roman" w:cs="Times New Roman"/>
          <w:sz w:val="20"/>
          <w:szCs w:val="20"/>
          <w:lang w:val="ru-RU"/>
        </w:rPr>
        <w:t xml:space="preserve"> уменьшению (п.1 ст.381, ст. 390 ГК РФ, п.1 ст.416 ГК РФ).</w:t>
      </w:r>
    </w:p>
    <w:p w14:paraId="6E957224" w14:textId="4CC5918D" w:rsidR="00375D59" w:rsidRPr="006818E4" w:rsidRDefault="00BF7633" w:rsidP="006818E4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highlight w:val="yellow"/>
          <w:lang w:val="ru-RU"/>
        </w:rPr>
      </w:pPr>
      <w:r w:rsidRPr="002335F0">
        <w:rPr>
          <w:rFonts w:ascii="Times New Roman" w:hAnsi="Times New Roman" w:cs="Times New Roman"/>
          <w:sz w:val="20"/>
          <w:szCs w:val="20"/>
          <w:lang w:val="ru-RU"/>
        </w:rPr>
        <w:t>Проект договора уступки прав требований (цессии) (далее – Договор) размещен на ЭП. Договор</w:t>
      </w:r>
      <w:r w:rsidR="00957EC1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BA505D" w:rsidRPr="002335F0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="00957EC1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2335F0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="00957EC1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957EC1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CC4AFE" w:rsidRPr="002335F0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</w:t>
      </w:r>
      <w:r w:rsidRPr="002335F0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957EC1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532560" w:rsidRPr="002335F0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A163C7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957EC1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9E5909" w:rsidRPr="002335F0">
        <w:rPr>
          <w:rFonts w:ascii="Times New Roman" w:hAnsi="Times New Roman" w:cs="Times New Roman"/>
          <w:sz w:val="20"/>
          <w:szCs w:val="20"/>
          <w:lang w:val="ru-RU"/>
        </w:rPr>
        <w:t xml:space="preserve">р/с </w:t>
      </w:r>
      <w:r w:rsidR="002335F0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40702810212010638332 </w:t>
      </w:r>
      <w:r w:rsidR="00A163C7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2335F0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>Филиал «Корпоративный» ПАО «Совкомбанк» (г. Москва)</w:t>
      </w:r>
      <w:r w:rsidR="00F50EC2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2335F0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30101810445250000360</w:t>
      </w:r>
      <w:r w:rsidR="00F50EC2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2335F0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044525360</w:t>
      </w:r>
      <w:r w:rsidR="0049335B" w:rsidRPr="002335F0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375D59" w:rsidRPr="006818E4" w:rsidSect="003C2BD8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8767">
    <w:abstractNumId w:val="1"/>
  </w:num>
  <w:num w:numId="2" w16cid:durableId="15918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1414"/>
    <w:rsid w:val="00024036"/>
    <w:rsid w:val="00060A84"/>
    <w:rsid w:val="00066AFF"/>
    <w:rsid w:val="00092530"/>
    <w:rsid w:val="000968C5"/>
    <w:rsid w:val="000A00E3"/>
    <w:rsid w:val="000B1360"/>
    <w:rsid w:val="000B4A0A"/>
    <w:rsid w:val="000C6E65"/>
    <w:rsid w:val="000E14C3"/>
    <w:rsid w:val="000F41C6"/>
    <w:rsid w:val="001057C8"/>
    <w:rsid w:val="00106CFA"/>
    <w:rsid w:val="0012595D"/>
    <w:rsid w:val="00125D51"/>
    <w:rsid w:val="00132C40"/>
    <w:rsid w:val="001342BD"/>
    <w:rsid w:val="00135407"/>
    <w:rsid w:val="00146286"/>
    <w:rsid w:val="00147782"/>
    <w:rsid w:val="001727A3"/>
    <w:rsid w:val="0017463D"/>
    <w:rsid w:val="0017511E"/>
    <w:rsid w:val="00190E6B"/>
    <w:rsid w:val="001A70B8"/>
    <w:rsid w:val="001B1562"/>
    <w:rsid w:val="001B2EB9"/>
    <w:rsid w:val="001D60D5"/>
    <w:rsid w:val="001E73E1"/>
    <w:rsid w:val="00201387"/>
    <w:rsid w:val="00203371"/>
    <w:rsid w:val="002109D8"/>
    <w:rsid w:val="0022028A"/>
    <w:rsid w:val="00220D13"/>
    <w:rsid w:val="00231CB8"/>
    <w:rsid w:val="002335F0"/>
    <w:rsid w:val="00273968"/>
    <w:rsid w:val="00275D24"/>
    <w:rsid w:val="00280501"/>
    <w:rsid w:val="002A1222"/>
    <w:rsid w:val="00305A1E"/>
    <w:rsid w:val="00321DFA"/>
    <w:rsid w:val="00336DC2"/>
    <w:rsid w:val="003655EE"/>
    <w:rsid w:val="00375D59"/>
    <w:rsid w:val="00384C43"/>
    <w:rsid w:val="00390A28"/>
    <w:rsid w:val="003A29A2"/>
    <w:rsid w:val="003C2BD8"/>
    <w:rsid w:val="003D0088"/>
    <w:rsid w:val="003D071E"/>
    <w:rsid w:val="003D46FA"/>
    <w:rsid w:val="003D774E"/>
    <w:rsid w:val="003F6509"/>
    <w:rsid w:val="00413D03"/>
    <w:rsid w:val="004227A7"/>
    <w:rsid w:val="00431433"/>
    <w:rsid w:val="00444F87"/>
    <w:rsid w:val="00460523"/>
    <w:rsid w:val="00487F3A"/>
    <w:rsid w:val="0049335B"/>
    <w:rsid w:val="00493478"/>
    <w:rsid w:val="0049569B"/>
    <w:rsid w:val="004A18D7"/>
    <w:rsid w:val="004A6EE9"/>
    <w:rsid w:val="004C0F98"/>
    <w:rsid w:val="004C427D"/>
    <w:rsid w:val="004C645B"/>
    <w:rsid w:val="004D3058"/>
    <w:rsid w:val="004D4886"/>
    <w:rsid w:val="004E1CE8"/>
    <w:rsid w:val="004F0F59"/>
    <w:rsid w:val="005041D2"/>
    <w:rsid w:val="00505367"/>
    <w:rsid w:val="005067CC"/>
    <w:rsid w:val="00515D05"/>
    <w:rsid w:val="005160D8"/>
    <w:rsid w:val="00532560"/>
    <w:rsid w:val="00556B26"/>
    <w:rsid w:val="0056183E"/>
    <w:rsid w:val="00565CA3"/>
    <w:rsid w:val="00573F80"/>
    <w:rsid w:val="00583B2A"/>
    <w:rsid w:val="00586008"/>
    <w:rsid w:val="00594348"/>
    <w:rsid w:val="005B1853"/>
    <w:rsid w:val="005B5376"/>
    <w:rsid w:val="005E4B93"/>
    <w:rsid w:val="005E55D5"/>
    <w:rsid w:val="005F3E56"/>
    <w:rsid w:val="00622CD7"/>
    <w:rsid w:val="00642A4F"/>
    <w:rsid w:val="00654E9C"/>
    <w:rsid w:val="00677E82"/>
    <w:rsid w:val="006818E4"/>
    <w:rsid w:val="006C50C1"/>
    <w:rsid w:val="006D39B9"/>
    <w:rsid w:val="0071333C"/>
    <w:rsid w:val="00733936"/>
    <w:rsid w:val="00741C0B"/>
    <w:rsid w:val="00747530"/>
    <w:rsid w:val="00752C20"/>
    <w:rsid w:val="007872D5"/>
    <w:rsid w:val="0079791C"/>
    <w:rsid w:val="007A1C16"/>
    <w:rsid w:val="007A1E86"/>
    <w:rsid w:val="007A6882"/>
    <w:rsid w:val="007C3AA0"/>
    <w:rsid w:val="007D0894"/>
    <w:rsid w:val="007D1A03"/>
    <w:rsid w:val="007E2039"/>
    <w:rsid w:val="007E4CFD"/>
    <w:rsid w:val="007F2648"/>
    <w:rsid w:val="008903A7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7EC1"/>
    <w:rsid w:val="0096021D"/>
    <w:rsid w:val="00983EE8"/>
    <w:rsid w:val="00991CD8"/>
    <w:rsid w:val="009947C1"/>
    <w:rsid w:val="00996278"/>
    <w:rsid w:val="009B28CB"/>
    <w:rsid w:val="009B6635"/>
    <w:rsid w:val="009D1AB1"/>
    <w:rsid w:val="009D66C0"/>
    <w:rsid w:val="009E5909"/>
    <w:rsid w:val="00A163C7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4A1E"/>
    <w:rsid w:val="00B55CA3"/>
    <w:rsid w:val="00B659D0"/>
    <w:rsid w:val="00B777F0"/>
    <w:rsid w:val="00B82522"/>
    <w:rsid w:val="00B92854"/>
    <w:rsid w:val="00BA505D"/>
    <w:rsid w:val="00BC2484"/>
    <w:rsid w:val="00BC62C1"/>
    <w:rsid w:val="00BE53E7"/>
    <w:rsid w:val="00BF24D4"/>
    <w:rsid w:val="00BF7633"/>
    <w:rsid w:val="00C070E8"/>
    <w:rsid w:val="00CB6895"/>
    <w:rsid w:val="00CC4AFE"/>
    <w:rsid w:val="00CD732D"/>
    <w:rsid w:val="00CE62E9"/>
    <w:rsid w:val="00D03490"/>
    <w:rsid w:val="00D243AB"/>
    <w:rsid w:val="00D406A9"/>
    <w:rsid w:val="00D94474"/>
    <w:rsid w:val="00D958F9"/>
    <w:rsid w:val="00DA5334"/>
    <w:rsid w:val="00DB0EDD"/>
    <w:rsid w:val="00DB5C08"/>
    <w:rsid w:val="00DE2CE1"/>
    <w:rsid w:val="00DE302A"/>
    <w:rsid w:val="00E00838"/>
    <w:rsid w:val="00E041CA"/>
    <w:rsid w:val="00E044AB"/>
    <w:rsid w:val="00E12860"/>
    <w:rsid w:val="00E204DE"/>
    <w:rsid w:val="00E25D9D"/>
    <w:rsid w:val="00E60808"/>
    <w:rsid w:val="00EC16CA"/>
    <w:rsid w:val="00ED69E8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6F1A"/>
    <w:rsid w:val="00F832BA"/>
    <w:rsid w:val="00FA2C26"/>
    <w:rsid w:val="00FD09F4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rill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3</cp:revision>
  <cp:lastPrinted>2024-07-03T08:07:00Z</cp:lastPrinted>
  <dcterms:created xsi:type="dcterms:W3CDTF">2025-08-28T12:09:00Z</dcterms:created>
  <dcterms:modified xsi:type="dcterms:W3CDTF">2025-08-28T12:11:00Z</dcterms:modified>
</cp:coreProperties>
</file>