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3"/>
        <w:pBdr/>
        <w:spacing/>
        <w:ind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Приложение № 1 </w:t>
      </w:r>
      <w:r>
        <w:rPr>
          <w:b w:val="0"/>
          <w:sz w:val="22"/>
          <w:szCs w:val="22"/>
        </w:rPr>
      </w:r>
    </w:p>
    <w:p>
      <w:pPr>
        <w:pStyle w:val="685"/>
        <w:pBdr/>
        <w:spacing/>
        <w:ind w:right="-57"/>
        <w:jc w:val="right"/>
        <w:rPr/>
      </w:pP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Оферте</w:t>
      </w:r>
      <w:r/>
    </w:p>
    <w:p>
      <w:pPr>
        <w:pStyle w:val="693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Договор о задатке №____</w:t>
      </w:r>
      <w:r>
        <w:rPr>
          <w:sz w:val="24"/>
          <w:szCs w:val="24"/>
        </w:rPr>
      </w:r>
    </w:p>
    <w:p>
      <w:pPr>
        <w:pStyle w:val="693"/>
        <w:pBdr/>
        <w:spacing/>
        <w:ind/>
        <w:rPr>
          <w:b w:val="0"/>
          <w:bCs w:val="0"/>
          <w:spacing w:val="30"/>
          <w:sz w:val="24"/>
          <w:szCs w:val="24"/>
        </w:rPr>
      </w:pPr>
      <w:r>
        <w:rPr>
          <w:b w:val="0"/>
          <w:bCs w:val="0"/>
          <w:spacing w:val="30"/>
          <w:sz w:val="24"/>
          <w:szCs w:val="24"/>
        </w:rPr>
        <w:t xml:space="preserve">(договор присоединения)</w:t>
      </w:r>
      <w:r>
        <w:rPr>
          <w:b w:val="0"/>
          <w:bCs w:val="0"/>
          <w:spacing w:val="30"/>
          <w:sz w:val="24"/>
          <w:szCs w:val="24"/>
        </w:rPr>
      </w:r>
      <w:r>
        <w:rPr>
          <w:b w:val="0"/>
          <w:bCs w:val="0"/>
          <w:spacing w:val="30"/>
          <w:sz w:val="24"/>
          <w:szCs w:val="24"/>
        </w:rPr>
      </w:r>
    </w:p>
    <w:p>
      <w:pPr>
        <w:pStyle w:val="693"/>
        <w:pBdr/>
        <w:spacing/>
        <w:ind/>
        <w:rPr>
          <w:b w:val="0"/>
          <w:bCs w:val="0"/>
          <w:spacing w:val="30"/>
          <w:sz w:val="24"/>
          <w:szCs w:val="24"/>
        </w:rPr>
      </w:pPr>
      <w:r>
        <w:rPr>
          <w:b w:val="0"/>
          <w:bCs w:val="0"/>
          <w:spacing w:val="30"/>
          <w:sz w:val="24"/>
          <w:szCs w:val="24"/>
        </w:rPr>
      </w:r>
      <w:r>
        <w:rPr>
          <w:b w:val="0"/>
          <w:bCs w:val="0"/>
          <w:spacing w:val="30"/>
          <w:sz w:val="24"/>
          <w:szCs w:val="24"/>
        </w:rPr>
      </w:r>
    </w:p>
    <w:p>
      <w:pPr>
        <w:pStyle w:val="685"/>
        <w:pBdr/>
        <w:shd w:val="clear" w:color="auto" w:fill="ffffff"/>
        <w:tabs>
          <w:tab w:val="left" w:leader="none" w:pos="1145"/>
        </w:tabs>
        <w:spacing/>
        <w:ind/>
        <w:jc w:val="both"/>
        <w:rPr>
          <w:b/>
          <w:bCs/>
        </w:rPr>
      </w:pPr>
      <w:r>
        <w:rPr>
          <w:b/>
        </w:rPr>
        <w:t xml:space="preserve">Акционерное о</w:t>
      </w:r>
      <w:r>
        <w:rPr>
          <w:b/>
        </w:rPr>
        <w:t xml:space="preserve">бщество </w:t>
      </w:r>
      <w:r>
        <w:rPr>
          <w:b/>
        </w:rPr>
        <w:t xml:space="preserve">«Российский аукционный дом»</w:t>
      </w:r>
      <w:r>
        <w:rPr>
          <w:b/>
        </w:rPr>
        <w:t xml:space="preserve">,</w:t>
      </w:r>
      <w:r>
        <w:t xml:space="preserve"> именуемое в дальнейшем «</w:t>
      </w:r>
      <w:r>
        <w:t xml:space="preserve">Организатор</w:t>
      </w:r>
      <w:r>
        <w:t xml:space="preserve">, Оператор</w:t>
      </w:r>
      <w:r>
        <w:t xml:space="preserve"> электронной площадки</w:t>
      </w:r>
      <w:r>
        <w:t xml:space="preserve">», </w:t>
      </w:r>
      <w:r>
        <w:t xml:space="preserve"> </w:t>
      </w:r>
      <w:r>
        <w:t xml:space="preserve">в лице</w:t>
      </w:r>
      <w:r>
        <w:t xml:space="preserve"> </w:t>
      </w:r>
      <w:r>
        <w:t xml:space="preserve">заместителя генерального директора</w:t>
      </w:r>
      <w:r/>
      <w:r/>
      <w:r>
        <w:t xml:space="preserve"> Канцеровой Елены Владимировны</w:t>
      </w:r>
      <w:r>
        <w:t xml:space="preserve">, действующе</w:t>
      </w:r>
      <w:r>
        <w:t xml:space="preserve">й</w:t>
      </w:r>
      <w:r>
        <w:t xml:space="preserve"> на основании Доверенности </w:t>
      </w:r>
      <w:r>
        <w:t xml:space="preserve">от </w:t>
      </w:r>
      <w:r>
        <w:t xml:space="preserve">0</w:t>
      </w:r>
      <w:r>
        <w:t xml:space="preserve">1.01.202</w:t>
      </w:r>
      <w:r>
        <w:t xml:space="preserve">5</w:t>
      </w:r>
      <w:r>
        <w:t xml:space="preserve"> № Д-</w:t>
      </w:r>
      <w:r>
        <w:t xml:space="preserve">078</w:t>
      </w:r>
      <w:r>
        <w:t xml:space="preserve"> </w:t>
      </w:r>
      <w:r>
        <w:t xml:space="preserve">и </w:t>
      </w:r>
      <w:r>
        <w:t xml:space="preserve">присоединившийся к настоящему Договору</w:t>
      </w:r>
      <w:r>
        <w:rPr>
          <w:b/>
          <w:bCs/>
        </w:rPr>
        <w:t xml:space="preserve"> </w:t>
      </w:r>
      <w:r>
        <w:t xml:space="preserve">п</w:t>
      </w:r>
      <w:r>
        <w:t xml:space="preserve">ретендент</w:t>
      </w:r>
      <w:r>
        <w:rPr>
          <w:b/>
        </w:rPr>
        <w:t xml:space="preserve"> </w:t>
      </w:r>
      <w:r>
        <w:t xml:space="preserve">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</w:t>
      </w:r>
      <w:r>
        <w:t xml:space="preserve">на </w:t>
      </w:r>
      <w:r>
        <w:t xml:space="preserve">участие в торгах по </w:t>
      </w:r>
      <w:r>
        <w:t xml:space="preserve">продаже</w:t>
      </w:r>
      <w:r>
        <w:t xml:space="preserve">, именуемый в дальнейшем </w:t>
      </w:r>
      <w:r>
        <w:rPr>
          <w:b/>
        </w:rPr>
        <w:t xml:space="preserve">«Претендент»,</w:t>
      </w:r>
      <w:r>
        <w:rPr>
          <w:b/>
        </w:rPr>
        <w:t xml:space="preserve"> </w:t>
      </w:r>
      <w:r>
        <w:t xml:space="preserve">совместно именуемые «Стороны»</w:t>
      </w:r>
      <w:r>
        <w:t xml:space="preserve">,</w:t>
      </w:r>
      <w:r>
        <w:t xml:space="preserve"> в соответствии с требованиями ст.ст.380, 381, 428 ГК РФ, заключили настоящий Договор (далее – Договор) о нижеследующем:</w:t>
      </w:r>
      <w:r>
        <w:rPr>
          <w:b/>
          <w:bCs/>
        </w:rPr>
      </w:r>
      <w:r>
        <w:rPr>
          <w:b/>
          <w:bCs/>
        </w:rPr>
      </w:r>
    </w:p>
    <w:p>
      <w:pPr>
        <w:pStyle w:val="685"/>
        <w:pBdr/>
        <w:spacing/>
        <w:ind w:firstLine="567"/>
        <w:jc w:val="both"/>
        <w:rPr/>
      </w:pPr>
      <w:r>
        <w:rPr>
          <w:color w:val="000000"/>
        </w:rPr>
        <w:t xml:space="preserve">1. В соответствии с условиями настоящего Договора Претендент для участия </w:t>
      </w:r>
      <w:r>
        <w:t xml:space="preserve">в торгах </w:t>
      </w:r>
      <w:r>
        <w:t xml:space="preserve">в </w:t>
      </w:r>
      <w:r>
        <w:t xml:space="preserve">форме </w:t>
      </w:r>
      <w:r>
        <w:t xml:space="preserve">______</w:t>
      </w:r>
      <w:r>
        <w:t xml:space="preserve"> </w:t>
      </w:r>
      <w:r>
        <w:t xml:space="preserve">по продаже</w:t>
      </w:r>
      <w:r>
        <w:t xml:space="preserve">_____________</w:t>
      </w:r>
      <w:r>
        <w:t xml:space="preserve">______</w:t>
      </w:r>
      <w:r>
        <w:t xml:space="preserve"> </w:t>
      </w:r>
      <w:r>
        <w:rPr>
          <w:i/>
          <w:iCs/>
        </w:rPr>
        <w:t xml:space="preserve">(указать наи</w:t>
      </w:r>
      <w:r>
        <w:rPr>
          <w:i/>
          <w:iCs/>
        </w:rPr>
        <w:t xml:space="preserve">менование лота)</w:t>
      </w:r>
      <w:r>
        <w:t xml:space="preserve"> </w:t>
      </w:r>
      <w:r>
        <w:rPr>
          <w:color w:val="000000"/>
        </w:rPr>
        <w:t xml:space="preserve">(далее –</w:t>
      </w:r>
      <w:r>
        <w:rPr>
          <w:color w:val="000000"/>
        </w:rPr>
        <w:t xml:space="preserve"> </w:t>
      </w:r>
      <w:r>
        <w:rPr>
          <w:color w:val="000000"/>
        </w:rPr>
        <w:t xml:space="preserve">Имущество</w:t>
      </w:r>
      <w:r>
        <w:rPr>
          <w:color w:val="000000"/>
        </w:rPr>
        <w:t xml:space="preserve">), </w:t>
      </w:r>
      <w:r>
        <w:rPr>
          <w:color w:val="000000"/>
        </w:rPr>
        <w:t xml:space="preserve">перечисляет денежные средства </w:t>
      </w:r>
      <w:r>
        <w:rPr>
          <w:b/>
          <w:color w:val="000000"/>
        </w:rPr>
        <w:t xml:space="preserve">в размере </w:t>
      </w:r>
      <w:r>
        <w:rPr>
          <w:b/>
          <w:bCs/>
        </w:rPr>
        <w:t xml:space="preserve">__</w:t>
      </w:r>
      <w:r>
        <w:rPr>
          <w:b/>
          <w:bCs/>
        </w:rPr>
        <w:t xml:space="preserve">_____ (</w:t>
      </w:r>
      <w:r>
        <w:rPr>
          <w:b/>
          <w:bCs/>
          <w:i/>
          <w:iCs/>
        </w:rPr>
        <w:t xml:space="preserve">сумма, указанная на электронной торговой площадке</w:t>
      </w:r>
      <w:r>
        <w:rPr>
          <w:b/>
          <w:bCs/>
        </w:rPr>
        <w:t xml:space="preserve">)</w:t>
      </w:r>
      <w:r>
        <w:rPr>
          <w:b/>
          <w:bCs/>
        </w:rPr>
        <w:t xml:space="preserve"> </w:t>
      </w:r>
      <w:r>
        <w:t xml:space="preserve">(далее – «Задаток») </w:t>
      </w:r>
      <w:r>
        <w:t xml:space="preserve">на расчетны</w:t>
      </w:r>
      <w:r>
        <w:t xml:space="preserve">й</w:t>
      </w:r>
      <w:r>
        <w:t xml:space="preserve"> счет </w:t>
      </w:r>
      <w:r>
        <w:t xml:space="preserve">Оператора электронной площадки</w:t>
      </w:r>
      <w:r>
        <w:t xml:space="preserve">:</w:t>
      </w:r>
      <w:r>
        <w:rPr>
          <w:bCs/>
          <w:sz w:val="18"/>
          <w:szCs w:val="18"/>
          <w:shd w:val="clear" w:color="auto" w:fill="ffffff"/>
        </w:rPr>
        <w:t xml:space="preserve"> </w:t>
      </w:r>
      <w:r/>
    </w:p>
    <w:p>
      <w:pPr>
        <w:pStyle w:val="685"/>
        <w:pBdr/>
        <w:spacing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 xml:space="preserve">Получатель</w:t>
      </w:r>
      <w:r>
        <w:rPr>
          <w:b/>
          <w:bCs/>
          <w:color w:val="000000"/>
        </w:rPr>
        <w:t xml:space="preserve"> - </w:t>
      </w:r>
      <w:r>
        <w:rPr>
          <w:b/>
          <w:bCs/>
          <w:color w:val="000000"/>
        </w:rPr>
        <w:t xml:space="preserve">АО «Российский аукционный дом» (ИНН 7838430413, КПП 783801</w:t>
      </w:r>
      <w:r>
        <w:rPr>
          <w:b/>
          <w:bCs/>
          <w:color w:val="000000"/>
        </w:rPr>
        <w:t xml:space="preserve">001):</w:t>
      </w:r>
      <w:r>
        <w:rPr>
          <w:b/>
          <w:bCs/>
          <w:color w:val="000000"/>
        </w:rPr>
      </w:r>
    </w:p>
    <w:p>
      <w:pPr>
        <w:pStyle w:val="685"/>
        <w:pBdr/>
        <w:spacing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р/с № 40702810355000036459</w:t>
      </w:r>
      <w:r>
        <w:rPr>
          <w:b/>
          <w:bCs/>
          <w:color w:val="000000"/>
        </w:rPr>
        <w:t xml:space="preserve"> в </w:t>
      </w:r>
      <w:r>
        <w:rPr>
          <w:b/>
          <w:bCs/>
          <w:color w:val="000000"/>
        </w:rPr>
        <w:t xml:space="preserve">СЕВЕРО-ЗАПАДНЫЙ БАНК ПАО СБЕРБАНК</w:t>
      </w:r>
      <w:r>
        <w:rPr>
          <w:b/>
          <w:bCs/>
          <w:color w:val="000000"/>
        </w:rPr>
        <w:t xml:space="preserve">,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685"/>
        <w:pBdr/>
        <w:spacing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БИК 044030653</w:t>
      </w:r>
      <w:r>
        <w:rPr>
          <w:b/>
          <w:bCs/>
          <w:color w:val="000000"/>
        </w:rPr>
        <w:t xml:space="preserve">, к/с</w:t>
      </w:r>
      <w:r>
        <w:rPr>
          <w:b/>
          <w:bCs/>
          <w:color w:val="000000"/>
        </w:rPr>
        <w:t xml:space="preserve"> 30101810500000000653</w:t>
      </w:r>
      <w:r>
        <w:rPr>
          <w:b/>
          <w:bCs/>
          <w:color w:val="000000"/>
        </w:rPr>
        <w:t xml:space="preserve">.</w:t>
      </w:r>
      <w:r>
        <w:rPr>
          <w:b/>
          <w:bCs/>
          <w:color w:val="000000"/>
        </w:rPr>
      </w:r>
    </w:p>
    <w:p>
      <w:pPr>
        <w:pStyle w:val="685"/>
        <w:pBdr/>
        <w:spacing/>
        <w:ind w:firstLine="567"/>
        <w:jc w:val="both"/>
        <w:rPr/>
      </w:pPr>
      <w:r>
        <w:t xml:space="preserve">2. Задаток должен быть внесен Претендентом не позднее даты, указанной в сообщении о продаже</w:t>
      </w:r>
      <w:r>
        <w:t xml:space="preserve"> права аренд</w:t>
      </w:r>
      <w:r>
        <w:t xml:space="preserve">ы</w:t>
      </w:r>
      <w:r>
        <w:t xml:space="preserve"> </w:t>
      </w:r>
      <w:r>
        <w:rPr>
          <w:b/>
        </w:rPr>
        <w:t xml:space="preserve">Имущества</w:t>
      </w:r>
      <w:r>
        <w:t xml:space="preserve"> </w:t>
      </w:r>
      <w:r>
        <w:t xml:space="preserve">и </w:t>
      </w:r>
      <w:r>
        <w:t xml:space="preserve">должен поступить на </w:t>
      </w:r>
      <w:r>
        <w:t xml:space="preserve">расчетный</w:t>
      </w:r>
      <w:r>
        <w:t xml:space="preserve"> счет Оператора электронной площадки, </w:t>
      </w:r>
      <w:r>
        <w:t xml:space="preserve">указанны</w:t>
      </w:r>
      <w:r>
        <w:t xml:space="preserve">й</w:t>
      </w:r>
      <w:r>
        <w:t xml:space="preserve"> в п.1 настоящего Договора не позднее даты, </w:t>
      </w:r>
      <w:r>
        <w:t xml:space="preserve">указанной в сообщении о продаже </w:t>
      </w:r>
      <w:r>
        <w:t xml:space="preserve">права аренды </w:t>
      </w:r>
      <w:r>
        <w:rPr>
          <w:b/>
        </w:rPr>
        <w:t xml:space="preserve">Имущества</w:t>
      </w:r>
      <w:r>
        <w:t xml:space="preserve">. Задаток считается внесенным с даты поступления всей суммы Задатка на </w:t>
      </w:r>
      <w:r>
        <w:t xml:space="preserve">указанный счет</w:t>
      </w:r>
      <w:r>
        <w:t xml:space="preserve">.</w:t>
      </w:r>
      <w:r/>
    </w:p>
    <w:p>
      <w:pPr>
        <w:pStyle w:val="685"/>
        <w:pBdr/>
        <w:spacing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когда сумма Задатка от Претендента не зачислена на расчетный счет </w:t>
      </w:r>
      <w:r>
        <w:rPr>
          <w:color w:val="000000"/>
        </w:rPr>
        <w:t xml:space="preserve">Оператора электронной площадки</w:t>
      </w:r>
      <w:r>
        <w:rPr>
          <w:color w:val="000000"/>
        </w:rPr>
        <w:t xml:space="preserve"> на дату, указанную в сообщении о продаже</w:t>
      </w:r>
      <w:r>
        <w:rPr>
          <w:color w:val="000000"/>
        </w:rPr>
        <w:t xml:space="preserve"> права аренды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Имущества</w:t>
      </w:r>
      <w:r>
        <w:rPr>
          <w:color w:val="000000"/>
        </w:rPr>
        <w:t xml:space="preserve">, Претендент не допускается к участию в торгах. Представление Прете</w:t>
      </w:r>
      <w:r>
        <w:rPr>
          <w:color w:val="000000"/>
        </w:rPr>
        <w:t xml:space="preserve">ндентом платежных документ</w:t>
      </w:r>
      <w:r>
        <w:rPr>
          <w:color w:val="000000"/>
        </w:rPr>
        <w:t xml:space="preserve">ов с отметкой об исполнении при этом во внимание Организатором торгов не принимается.</w:t>
      </w:r>
      <w:r>
        <w:rPr>
          <w:color w:val="000000"/>
        </w:rPr>
      </w:r>
    </w:p>
    <w:p>
      <w:pPr>
        <w:pStyle w:val="685"/>
        <w:pBdr/>
        <w:spacing/>
        <w:ind w:firstLine="567"/>
        <w:jc w:val="both"/>
        <w:rPr>
          <w:color w:val="000000"/>
        </w:rPr>
      </w:pPr>
      <w:r>
        <w:rPr>
          <w:color w:val="000000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>
        <w:rPr>
          <w:color w:val="000000"/>
        </w:rPr>
        <w:t xml:space="preserve">й</w:t>
      </w:r>
      <w:r>
        <w:rPr>
          <w:color w:val="000000"/>
        </w:rPr>
        <w:t xml:space="preserve"> в п. 1 настоящего</w:t>
      </w:r>
      <w:r>
        <w:rPr>
          <w:color w:val="000000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</w:t>
      </w:r>
      <w:r>
        <w:rPr>
          <w:color w:val="000000"/>
        </w:rPr>
        <w:t xml:space="preserve"> о задатке).</w:t>
      </w:r>
      <w:r>
        <w:rPr>
          <w:color w:val="000000"/>
        </w:rPr>
      </w:r>
      <w:r>
        <w:rPr>
          <w:color w:val="000000"/>
        </w:rPr>
      </w:r>
    </w:p>
    <w:p>
      <w:pPr>
        <w:pStyle w:val="685"/>
        <w:pBdr/>
        <w:spacing/>
        <w:ind w:firstLine="567"/>
        <w:jc w:val="both"/>
        <w:rPr>
          <w:color w:val="000000"/>
        </w:rPr>
      </w:pPr>
      <w:r>
        <w:rPr>
          <w:color w:val="000000"/>
        </w:rPr>
        <w:t xml:space="preserve">3. Задаток служит обеспечением исполнения обязательств Претен</w:t>
      </w:r>
      <w:r>
        <w:rPr>
          <w:color w:val="000000"/>
        </w:rPr>
        <w:t xml:space="preserve">дента по зак</w:t>
      </w:r>
      <w:r>
        <w:rPr>
          <w:color w:val="000000"/>
        </w:rPr>
        <w:t xml:space="preserve">лючению </w:t>
      </w:r>
      <w:r>
        <w:rPr>
          <w:color w:val="000000"/>
        </w:rPr>
        <w:t xml:space="preserve">по итогам </w:t>
      </w:r>
      <w:r>
        <w:rPr>
          <w:color w:val="000000"/>
        </w:rPr>
        <w:t xml:space="preserve">т</w:t>
      </w:r>
      <w:r>
        <w:rPr>
          <w:color w:val="000000"/>
        </w:rPr>
        <w:t xml:space="preserve">оргов договора и </w:t>
      </w:r>
      <w:r>
        <w:rPr>
          <w:color w:val="000000"/>
        </w:rPr>
        <w:t xml:space="preserve">оплате цены продажи</w:t>
      </w:r>
      <w:r>
        <w:rPr>
          <w:color w:val="000000"/>
        </w:rPr>
        <w:t xml:space="preserve"> права аренды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Имущества</w:t>
      </w:r>
      <w:r>
        <w:rPr>
          <w:color w:val="000000"/>
        </w:rPr>
        <w:t xml:space="preserve">, </w:t>
      </w:r>
      <w:r>
        <w:rPr>
          <w:color w:val="000000"/>
        </w:rPr>
        <w:t xml:space="preserve">определенной по итогам торгов, </w:t>
      </w:r>
      <w:r>
        <w:t xml:space="preserve">и исполнения иных обязательств по заключенному договору </w:t>
      </w:r>
      <w:r>
        <w:rPr>
          <w:color w:val="000000"/>
        </w:rPr>
        <w:t xml:space="preserve">в случае признания Претендента п</w:t>
      </w:r>
      <w:r>
        <w:rPr>
          <w:color w:val="000000"/>
        </w:rPr>
        <w:t xml:space="preserve">обедителем торгов</w:t>
      </w:r>
      <w:r>
        <w:rPr>
          <w:color w:val="000000"/>
        </w:rPr>
        <w:t xml:space="preserve">,</w:t>
      </w:r>
      <w:r>
        <w:rPr>
          <w:color w:val="000000"/>
        </w:rPr>
        <w:t xml:space="preserve"> если   иное не предусмотрено в </w:t>
      </w:r>
      <w:r>
        <w:rPr>
          <w:color w:val="000000"/>
        </w:rPr>
        <w:t xml:space="preserve">информационном сообщении о</w:t>
      </w:r>
      <w:r>
        <w:rPr>
          <w:color w:val="000000"/>
        </w:rPr>
        <w:t xml:space="preserve"> </w:t>
      </w:r>
      <w:r>
        <w:rPr>
          <w:color w:val="000000"/>
        </w:rPr>
        <w:t xml:space="preserve">проведении торгов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pStyle w:val="685"/>
        <w:pBdr/>
        <w:spacing/>
        <w:ind w:firstLine="567"/>
        <w:jc w:val="both"/>
        <w:rPr>
          <w:color w:val="000000"/>
        </w:rPr>
      </w:pPr>
      <w:r>
        <w:rPr>
          <w:color w:val="000000"/>
        </w:rPr>
        <w:t xml:space="preserve">4. В платежном документе в графе «назначение плат</w:t>
      </w:r>
      <w:r>
        <w:rPr>
          <w:color w:val="000000"/>
        </w:rPr>
        <w:t xml:space="preserve">ежа» должна</w:t>
      </w:r>
      <w:r>
        <w:rPr>
          <w:color w:val="000000"/>
        </w:rPr>
        <w:t xml:space="preserve"> содержаться информация:</w:t>
      </w:r>
      <w:r>
        <w:rPr>
          <w:color w:val="000000"/>
        </w:rPr>
        <w:t xml:space="preserve"> </w:t>
      </w:r>
      <w:r>
        <w:rPr>
          <w:color w:val="000000"/>
        </w:rPr>
        <w:t xml:space="preserve">«</w:t>
      </w:r>
      <w:r>
        <w:rPr>
          <w:color w:val="000000"/>
        </w:rPr>
        <w:t xml:space="preserve">№ л/с ____________Средства для проведения </w:t>
      </w:r>
      <w:r>
        <w:rPr>
          <w:color w:val="000000"/>
        </w:rPr>
        <w:t xml:space="preserve">операций по обеспечению участия </w:t>
      </w:r>
      <w:r>
        <w:rPr>
          <w:color w:val="000000"/>
        </w:rPr>
        <w:t xml:space="preserve">в электронных процедурах. НДС не облагается</w:t>
      </w:r>
      <w:r>
        <w:rPr>
          <w:color w:val="000000"/>
        </w:rPr>
        <w:t xml:space="preserve">»</w:t>
      </w:r>
      <w:r>
        <w:rPr>
          <w:color w:val="000000"/>
        </w:rPr>
        <w:t xml:space="preserve">.</w:t>
      </w:r>
      <w:r>
        <w:rPr>
          <w:color w:val="000000"/>
        </w:rPr>
      </w:r>
    </w:p>
    <w:p>
      <w:pPr>
        <w:pStyle w:val="685"/>
        <w:pBdr/>
        <w:spacing/>
        <w:ind w:firstLine="567"/>
        <w:jc w:val="both"/>
        <w:rPr>
          <w:color w:val="000000"/>
        </w:rPr>
      </w:pPr>
      <w:r>
        <w:rPr>
          <w:color w:val="000000"/>
        </w:rPr>
        <w:t xml:space="preserve">5</w:t>
      </w:r>
      <w:r>
        <w:rPr>
          <w:color w:val="000000"/>
        </w:rPr>
        <w:t xml:space="preserve">. Исполнение обязанности по внесению суммы задатка третьими лицами не допускается.</w:t>
      </w:r>
      <w:r>
        <w:rPr>
          <w:color w:val="000000"/>
        </w:rPr>
      </w:r>
    </w:p>
    <w:p>
      <w:pPr>
        <w:pStyle w:val="685"/>
        <w:pBdr/>
        <w:spacing/>
        <w:ind w:firstLine="567"/>
        <w:jc w:val="both"/>
        <w:rPr>
          <w:color w:val="000000"/>
        </w:rPr>
      </w:pPr>
      <w:r>
        <w:rPr>
          <w:color w:val="000000"/>
        </w:rPr>
        <w:t xml:space="preserve">6</w:t>
      </w:r>
      <w:r>
        <w:rPr>
          <w:color w:val="000000"/>
        </w:rPr>
        <w:t xml:space="preserve">. Сроки </w:t>
      </w:r>
      <w:r>
        <w:rPr>
          <w:color w:val="000000"/>
        </w:rPr>
        <w:t xml:space="preserve">и порядок </w:t>
      </w:r>
      <w:r>
        <w:rPr>
          <w:color w:val="000000"/>
        </w:rPr>
        <w:t xml:space="preserve">возврата суммы задатка, внесенного Претендентом на счет </w:t>
      </w:r>
      <w:r>
        <w:rPr>
          <w:color w:val="000000"/>
        </w:rPr>
        <w:t xml:space="preserve">Оператора электронной площадки</w:t>
      </w:r>
      <w:r>
        <w:rPr>
          <w:color w:val="000000"/>
        </w:rPr>
        <w:t xml:space="preserve"> определяются Регламентом </w:t>
      </w:r>
      <w:r>
        <w:rPr>
          <w:color w:val="000000"/>
        </w:rPr>
        <w:t xml:space="preserve">АО «Российский аукционный дом»</w:t>
      </w:r>
      <w:r>
        <w:rPr>
          <w:color w:val="000000"/>
        </w:rPr>
        <w:t xml:space="preserve"> </w:t>
      </w:r>
      <w:r>
        <w:rPr>
          <w:color w:val="000000"/>
        </w:rPr>
        <w:t xml:space="preserve"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</w:t>
      </w:r>
      <w:r>
        <w:rPr>
          <w:color w:val="000000"/>
        </w:rPr>
        <w:t xml:space="preserve">е о банкротстве, имущества частных собственников</w:t>
      </w:r>
      <w:r>
        <w:rPr>
          <w:color w:val="000000"/>
        </w:rPr>
        <w:t xml:space="preserve"> (далее – Регламент)</w:t>
      </w:r>
      <w:r>
        <w:rPr>
          <w:rStyle w:val="721"/>
          <w:color w:val="000000"/>
        </w:rPr>
        <w:footnoteReference w:id="2"/>
      </w:r>
      <w:r>
        <w:rPr>
          <w:color w:val="000000"/>
        </w:rPr>
        <w:t xml:space="preserve">. </w:t>
      </w:r>
      <w:r>
        <w:rPr>
          <w:color w:val="000000"/>
        </w:rPr>
      </w:r>
      <w:r>
        <w:rPr>
          <w:color w:val="000000"/>
        </w:rPr>
      </w:r>
    </w:p>
    <w:p>
      <w:pPr>
        <w:pStyle w:val="685"/>
        <w:pBdr/>
        <w:spacing/>
        <w:ind w:firstLine="567"/>
        <w:jc w:val="both"/>
        <w:rPr>
          <w:color w:val="000000"/>
        </w:rPr>
      </w:pPr>
      <w:r>
        <w:rPr>
          <w:color w:val="000000"/>
        </w:rPr>
        <w:t xml:space="preserve">7</w:t>
      </w:r>
      <w:r>
        <w:rPr>
          <w:color w:val="000000"/>
        </w:rPr>
        <w:t xml:space="preserve">. В случа</w:t>
      </w:r>
      <w:r>
        <w:rPr>
          <w:color w:val="000000"/>
        </w:rPr>
        <w:t xml:space="preserve">е</w:t>
      </w:r>
      <w:r>
        <w:rPr>
          <w:color w:val="000000"/>
        </w:rPr>
        <w:t xml:space="preserve"> </w:t>
      </w:r>
      <w:r>
        <w:rPr>
          <w:color w:val="000000"/>
        </w:rPr>
        <w:t xml:space="preserve">наступления, указанных в </w:t>
      </w:r>
      <w:r>
        <w:rPr>
          <w:color w:val="000000"/>
        </w:rPr>
        <w:t xml:space="preserve">Регламенте </w:t>
      </w:r>
      <w:r>
        <w:rPr>
          <w:color w:val="000000"/>
        </w:rPr>
        <w:t xml:space="preserve">оснований для </w:t>
      </w:r>
      <w:r>
        <w:rPr>
          <w:color w:val="000000"/>
        </w:rPr>
        <w:t xml:space="preserve">возврата </w:t>
      </w:r>
      <w:r>
        <w:rPr>
          <w:color w:val="000000"/>
        </w:rPr>
        <w:t xml:space="preserve">Оператором электронной площадки</w:t>
      </w:r>
      <w:r>
        <w:rPr>
          <w:color w:val="000000"/>
        </w:rPr>
        <w:t xml:space="preserve"> Задатка Претенденту, возврат производится путем </w:t>
      </w:r>
      <w:r>
        <w:rPr>
          <w:color w:val="000000"/>
        </w:rPr>
        <w:t xml:space="preserve">разблокировки денежных средств   в размере </w:t>
      </w:r>
      <w:r>
        <w:rPr>
          <w:color w:val="000000"/>
        </w:rPr>
        <w:t xml:space="preserve">суммы Задатка </w:t>
      </w:r>
      <w:r>
        <w:rPr>
          <w:color w:val="000000"/>
        </w:rPr>
        <w:t xml:space="preserve">на лицевом   счете  </w:t>
      </w:r>
      <w:r>
        <w:rPr>
          <w:color w:val="000000"/>
        </w:rPr>
        <w:t xml:space="preserve"> Претендента</w:t>
      </w:r>
      <w:r>
        <w:rPr>
          <w:color w:val="000000"/>
        </w:rPr>
        <w:t xml:space="preserve"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  <w:r>
        <w:rPr>
          <w:color w:val="000000"/>
        </w:rPr>
      </w:r>
      <w:r>
        <w:rPr>
          <w:color w:val="000000"/>
        </w:rPr>
      </w:r>
    </w:p>
    <w:p>
      <w:pPr>
        <w:pStyle w:val="685"/>
        <w:pBdr/>
        <w:spacing/>
        <w:ind w:firstLine="567"/>
        <w:jc w:val="both"/>
        <w:rPr>
          <w:color w:val="000000"/>
        </w:rPr>
      </w:pPr>
      <w:r>
        <w:rPr>
          <w:color w:val="000000"/>
        </w:rPr>
        <w:t xml:space="preserve">8</w:t>
      </w:r>
      <w:r>
        <w:rPr>
          <w:color w:val="000000"/>
        </w:rPr>
        <w:t xml:space="preserve">. Все возможные споры и разногласия, связ</w:t>
      </w:r>
      <w:r>
        <w:rPr>
          <w:color w:val="000000"/>
        </w:rPr>
        <w:t xml:space="preserve">анные с исполнением настоящего </w:t>
      </w:r>
      <w:r>
        <w:rPr>
          <w:color w:val="000000"/>
        </w:rPr>
        <w:t xml:space="preserve">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000000"/>
        </w:rPr>
        <w:t xml:space="preserve">Оператора электронной площадки</w:t>
      </w:r>
      <w:r>
        <w:rPr>
          <w:color w:val="000000"/>
        </w:rPr>
        <w:t xml:space="preserve">.</w:t>
      </w:r>
      <w:r>
        <w:rPr>
          <w:color w:val="000000"/>
        </w:rPr>
      </w:r>
    </w:p>
    <w:p>
      <w:pPr>
        <w:pStyle w:val="685"/>
        <w:pBdr/>
        <w:spacing/>
        <w:ind w:firstLine="567"/>
        <w:jc w:val="both"/>
        <w:rPr>
          <w:color w:val="000000"/>
        </w:rPr>
      </w:pPr>
      <w:r>
        <w:rPr>
          <w:color w:val="000000"/>
        </w:rPr>
        <w:t xml:space="preserve">9</w:t>
      </w:r>
      <w:r>
        <w:rPr>
          <w:color w:val="000000"/>
        </w:rPr>
        <w:t xml:space="preserve">. Фактом внесения денежных средств в качестве </w:t>
      </w:r>
      <w:r>
        <w:rPr>
          <w:color w:val="000000"/>
        </w:rPr>
        <w:t xml:space="preserve">З</w:t>
      </w:r>
      <w:r>
        <w:rPr>
          <w:color w:val="000000"/>
        </w:rPr>
        <w:t xml:space="preserve">адатка на участие в электронных торгах Претендент подтверждает согласие со всеми усл</w:t>
      </w:r>
      <w:r>
        <w:rPr>
          <w:color w:val="000000"/>
        </w:rPr>
        <w:t xml:space="preserve">овиями проведения торгов, </w:t>
      </w:r>
      <w:r>
        <w:rPr>
          <w:color w:val="000000"/>
        </w:rPr>
        <w:t xml:space="preserve">условиями настоящего Договора, </w:t>
      </w:r>
      <w:r>
        <w:rPr>
          <w:color w:val="000000"/>
        </w:rPr>
        <w:t xml:space="preserve">усло</w:t>
      </w:r>
      <w:r>
        <w:rPr>
          <w:color w:val="000000"/>
        </w:rPr>
        <w:t xml:space="preserve">виями договора, подлежащего заключению по итогам торгов. </w:t>
      </w:r>
      <w:r>
        <w:rPr>
          <w:color w:val="000000"/>
        </w:rPr>
        <w:t xml:space="preserve"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  <w:r>
        <w:rPr>
          <w:color w:val="000000"/>
        </w:rPr>
      </w:r>
      <w:r>
        <w:rPr>
          <w:color w:val="000000"/>
        </w:rPr>
      </w:r>
    </w:p>
    <w:p>
      <w:pPr>
        <w:pStyle w:val="685"/>
        <w:pBdr/>
        <w:spacing/>
        <w:ind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85"/>
        <w:pBdr/>
        <w:spacing/>
        <w:ind w:firstLine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Реквизиты сторон:</w:t>
      </w:r>
      <w:r>
        <w:rPr>
          <w:b/>
          <w:bCs/>
          <w:color w:val="000000"/>
        </w:rPr>
      </w:r>
    </w:p>
    <w:p>
      <w:pPr>
        <w:pStyle w:val="685"/>
        <w:pBdr/>
        <w:spacing/>
        <w:ind w:firstLine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tbl>
      <w:tblPr>
        <w:tblW w:w="9824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6"/>
        <w:gridCol w:w="764"/>
        <w:gridCol w:w="4274"/>
      </w:tblGrid>
      <w:tr>
        <w:trPr>
          <w:trHeight w:val="305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85"/>
              <w:pBdr/>
              <w:spacing/>
              <w: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Организатор</w:t>
            </w:r>
            <w:r>
              <w:rPr>
                <w:b/>
                <w:bCs/>
                <w:color w:val="000000"/>
              </w:rPr>
              <w:t xml:space="preserve">:</w:t>
            </w:r>
            <w:r>
              <w:rPr>
                <w:b/>
                <w:bCs/>
                <w:color w:val="000000"/>
              </w:rPr>
            </w:r>
          </w:p>
          <w:p>
            <w:pPr>
              <w:pStyle w:val="685"/>
              <w:pBdr/>
              <w:spacing/>
              <w:ind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Акционерное </w:t>
            </w:r>
            <w:r>
              <w:rPr>
                <w:b/>
                <w:color w:val="000000"/>
              </w:rPr>
              <w:t xml:space="preserve">о</w:t>
            </w:r>
            <w:r>
              <w:rPr>
                <w:b/>
                <w:color w:val="000000"/>
              </w:rPr>
              <w:t xml:space="preserve">бщество</w:t>
            </w:r>
            <w:r>
              <w:rPr>
                <w:b/>
                <w:color w:val="000000"/>
              </w:rPr>
            </w:r>
          </w:p>
          <w:p>
            <w:pPr>
              <w:pStyle w:val="685"/>
              <w:pBdr/>
              <w:spacing/>
              <w:ind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«Российский аукционный дом»</w:t>
            </w:r>
            <w:r>
              <w:rPr>
                <w:b/>
                <w:color w:val="000000"/>
              </w:rPr>
            </w:r>
          </w:p>
          <w:p>
            <w:pPr>
              <w:pStyle w:val="685"/>
              <w:pBdr/>
              <w:spacing/>
              <w:ind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pStyle w:val="685"/>
              <w:pBdr/>
              <w:spacing/>
              <w:ind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Адрес для корреспонденции: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  <w:p>
            <w:pPr>
              <w:pStyle w:val="685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190000 Санкт-Петербург,</w:t>
            </w:r>
            <w:r>
              <w:rPr>
                <w:color w:val="000000"/>
              </w:rPr>
            </w:r>
          </w:p>
          <w:p>
            <w:pPr>
              <w:pStyle w:val="685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пер. Гривцова, д.5, лит.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</w:r>
          </w:p>
          <w:p>
            <w:pPr>
              <w:pStyle w:val="685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тел. 8 (800) 777-57-57</w:t>
            </w:r>
            <w:r>
              <w:rPr>
                <w:color w:val="000000"/>
              </w:rPr>
            </w:r>
          </w:p>
          <w:p>
            <w:pPr>
              <w:pStyle w:val="685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85"/>
              <w:pBdr/>
              <w:tabs>
                <w:tab w:val="left" w:leader="none" w:pos="1580"/>
              </w:tabs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ОГРН: 1097847233351, ИНН: 7838430413, КПП: 783801001</w:t>
            </w:r>
            <w:r>
              <w:rPr>
                <w:color w:val="000000"/>
              </w:rPr>
            </w:r>
          </w:p>
          <w:p>
            <w:pPr>
              <w:pStyle w:val="685"/>
              <w:pBdr/>
              <w:tabs>
                <w:tab w:val="left" w:leader="none" w:pos="1580"/>
              </w:tabs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р/с № 40702810355000036459</w:t>
            </w:r>
            <w:r>
              <w:rPr>
                <w:color w:val="000000"/>
              </w:rPr>
            </w:r>
          </w:p>
          <w:p>
            <w:pPr>
              <w:pStyle w:val="685"/>
              <w:pBdr/>
              <w:tabs>
                <w:tab w:val="left" w:leader="none" w:pos="1580"/>
              </w:tabs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СЕВЕРО-ЗАПАДНЫЙ БАНК ПАО СБ</w:t>
            </w:r>
            <w:r>
              <w:rPr>
                <w:color w:val="000000"/>
              </w:rPr>
              <w:t xml:space="preserve">ЕРБАНК</w:t>
            </w:r>
            <w:r>
              <w:rPr>
                <w:color w:val="000000"/>
              </w:rPr>
            </w:r>
          </w:p>
          <w:p>
            <w:pPr>
              <w:pStyle w:val="685"/>
              <w:pBdr/>
              <w:tabs>
                <w:tab w:val="left" w:leader="none" w:pos="1580"/>
              </w:tabs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БИК 044030653</w:t>
            </w:r>
            <w:r>
              <w:rPr>
                <w:color w:val="000000"/>
              </w:rPr>
            </w:r>
          </w:p>
          <w:p>
            <w:pPr>
              <w:pStyle w:val="685"/>
              <w:pBdr/>
              <w:tabs>
                <w:tab w:val="left" w:leader="none" w:pos="1580"/>
              </w:tabs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к/с</w:t>
            </w:r>
            <w:r>
              <w:rPr>
                <w:color w:val="000000"/>
              </w:rPr>
              <w:t xml:space="preserve"> 30101810500000000653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4" w:type="dxa"/>
            <w:vAlign w:val="top"/>
            <w:textDirection w:val="lrTb"/>
            <w:noWrap w:val="false"/>
          </w:tcPr>
          <w:p>
            <w:pPr>
              <w:pStyle w:val="685"/>
              <w:pBdr/>
              <w:spacing/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74" w:type="dxa"/>
            <w:vAlign w:val="top"/>
            <w:textDirection w:val="lrTb"/>
            <w:noWrap w:val="false"/>
          </w:tcPr>
          <w:p>
            <w:pPr>
              <w:pStyle w:val="685"/>
              <w:pBdr/>
              <w:spacing/>
              <w:ind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 xml:space="preserve">ПРЕТЕНДЕНТ:</w:t>
            </w:r>
            <w:r>
              <w:rPr>
                <w:b/>
                <w:bCs/>
                <w:color w:val="000000"/>
              </w:rPr>
            </w:r>
          </w:p>
          <w:p>
            <w:pPr>
              <w:pStyle w:val="685"/>
              <w:pBdr/>
              <w:spacing/>
              <w:ind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_________________________________</w:t>
            </w:r>
            <w:r>
              <w:rPr>
                <w:b/>
                <w:bCs/>
                <w:color w:val="000000"/>
              </w:rPr>
            </w:r>
          </w:p>
          <w:p>
            <w:pPr>
              <w:pStyle w:val="685"/>
              <w:pBdr/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</w:t>
            </w:r>
            <w:r>
              <w:rPr>
                <w:color w:val="000000"/>
              </w:rPr>
            </w:r>
          </w:p>
          <w:p>
            <w:pPr>
              <w:pStyle w:val="685"/>
              <w:pBdr/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</w:t>
            </w:r>
            <w:r>
              <w:rPr>
                <w:color w:val="000000"/>
              </w:rPr>
            </w:r>
          </w:p>
          <w:p>
            <w:pPr>
              <w:pStyle w:val="685"/>
              <w:pBdr/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</w:t>
            </w:r>
            <w:r>
              <w:rPr>
                <w:color w:val="000000"/>
              </w:rPr>
            </w:r>
          </w:p>
          <w:p>
            <w:pPr>
              <w:pStyle w:val="685"/>
              <w:pBdr/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</w:t>
            </w:r>
            <w:r>
              <w:rPr>
                <w:color w:val="000000"/>
              </w:rPr>
            </w:r>
          </w:p>
          <w:p>
            <w:pPr>
              <w:pStyle w:val="685"/>
              <w:pBdr/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</w:t>
            </w:r>
            <w:r>
              <w:rPr>
                <w:color w:val="000000"/>
              </w:rPr>
            </w:r>
          </w:p>
          <w:p>
            <w:pPr>
              <w:pStyle w:val="685"/>
              <w:pBdr/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</w:t>
            </w:r>
            <w:r>
              <w:rPr>
                <w:color w:val="000000"/>
              </w:rPr>
            </w:r>
          </w:p>
          <w:p>
            <w:pPr>
              <w:pStyle w:val="685"/>
              <w:pBdr/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685"/>
        <w:pBdr/>
        <w:spacing/>
        <w:ind w:firstLine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>
        <w:rPr>
          <w:b/>
          <w:bCs/>
          <w:color w:val="000000"/>
        </w:rPr>
      </w:r>
    </w:p>
    <w:p>
      <w:pPr>
        <w:pStyle w:val="685"/>
        <w:pBdr/>
        <w:spacing/>
        <w:ind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</w:t>
      </w:r>
      <w:r>
        <w:rPr>
          <w:b/>
          <w:bCs/>
          <w:color w:val="000000"/>
        </w:rPr>
        <w:t xml:space="preserve">т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Организатора</w:t>
        <w:tab/>
        <w:tab/>
      </w:r>
      <w:r>
        <w:rPr>
          <w:b/>
          <w:bCs/>
          <w:color w:val="000000"/>
        </w:rPr>
        <w:t xml:space="preserve"> </w:t>
        <w:tab/>
        <w:tab/>
        <w:tab/>
        <w:tab/>
        <w:t xml:space="preserve">ОТ ПРЕТЕНДЕНТА</w:t>
      </w:r>
      <w:r>
        <w:rPr>
          <w:b/>
          <w:bCs/>
          <w:color w:val="000000"/>
        </w:rPr>
      </w:r>
    </w:p>
    <w:p>
      <w:pPr>
        <w:pStyle w:val="685"/>
        <w:pBdr/>
        <w:spacing/>
        <w:ind/>
        <w:rPr>
          <w:color w:val="000000"/>
        </w:rPr>
      </w:pPr>
      <w:r>
        <w:rPr>
          <w:color w:val="000000"/>
        </w:rPr>
        <w:t xml:space="preserve">_____________________/ </w:t>
      </w:r>
      <w:r>
        <w:rPr>
          <w:color w:val="000000"/>
        </w:rPr>
        <w:t xml:space="preserve">Е.В.</w:t>
      </w:r>
      <w:r>
        <w:rPr>
          <w:color w:val="000000"/>
        </w:rPr>
        <w:t xml:space="preserve"> </w:t>
      </w:r>
      <w:r>
        <w:rPr>
          <w:color w:val="000000"/>
        </w:rPr>
        <w:t xml:space="preserve">Канцерова</w:t>
      </w:r>
      <w:r>
        <w:rPr>
          <w:color w:val="000000"/>
        </w:rPr>
        <w:t xml:space="preserve">/</w:t>
        <w:tab/>
        <w:t xml:space="preserve">            _______________________/_________</w:t>
      </w:r>
      <w:r>
        <w:rPr>
          <w:color w:val="000000"/>
        </w:rPr>
      </w:r>
    </w:p>
    <w:p>
      <w:pPr>
        <w:pStyle w:val="685"/>
        <w:pBdr/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85"/>
        <w:pBdr/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sectPr>
      <w:footnotePr/>
      <w:endnotePr/>
      <w:type w:val="nextPage"/>
      <w:pgSz w:h="16838" w:orient="portrait" w:w="11906"/>
      <w:pgMar w:top="567" w:right="567" w:bottom="567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TTimes/Cyrillic">
    <w:panose1 w:val="05040102010807070707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  <w:footnote w:id="2">
    <w:p>
      <w:pPr>
        <w:pStyle w:val="719"/>
        <w:pBdr/>
        <w:spacing/>
        <w:ind/>
        <w:rPr/>
      </w:pPr>
      <w:r>
        <w:rPr>
          <w:rStyle w:val="721"/>
        </w:rPr>
        <w:footnoteRef/>
      </w:r>
      <w:r>
        <w:t xml:space="preserve"> Если иное не предусмотрено информационным сообщением о проведении торгов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/>
      <w:start w:val="1"/>
      <w:suff w:val="tab"/>
    </w:lvl>
  </w:abstractNum>
  <w:abstractNum w:abstractNumId="1">
    <w:lvl w:ilvl="0">
      <w:isLgl w:val="false"/>
      <w:lvlJc w:val="left"/>
      <w:lvlText w:val="7.%1."/>
      <w:numFmt w:val="decimal"/>
      <w:pPr>
        <w:pBdr/>
        <w:spacing/>
        <w:ind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6"/>
        <w:position w:val="0"/>
        <w:sz w:val="24"/>
        <w:szCs w:val="24"/>
        <w:u w:val="none"/>
      </w:rPr>
      <w:start w:val="3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3.%1"/>
      <w:numFmt w:val="decimal"/>
      <w:pPr>
        <w:pBdr/>
        <w:spacing/>
        <w:ind w:hanging="360" w:left="360"/>
      </w:pPr>
      <w:rPr>
        <w:b/>
        <w:bCs/>
        <w:i w:val="0"/>
        <w:iCs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3544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7.%1."/>
      <w:numFmt w:val="decimal"/>
      <w:pPr>
        <w:pBdr/>
        <w:spacing/>
        <w:ind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622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5"/>
    <w:next w:val="68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5"/>
    <w:next w:val="68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5"/>
    <w:next w:val="68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5"/>
    <w:next w:val="68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5"/>
    <w:next w:val="68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5"/>
    <w:next w:val="68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5"/>
    <w:next w:val="68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5"/>
    <w:next w:val="68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5"/>
    <w:next w:val="68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5"/>
    <w:next w:val="68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5"/>
    <w:next w:val="68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5"/>
    <w:next w:val="68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5"/>
    <w:next w:val="68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5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5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5"/>
    <w:next w:val="68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85"/>
    <w:next w:val="685"/>
    <w:uiPriority w:val="39"/>
    <w:unhideWhenUsed/>
    <w:pPr>
      <w:pBdr/>
      <w:spacing w:after="100"/>
      <w:ind/>
    </w:pPr>
  </w:style>
  <w:style w:type="paragraph" w:styleId="189">
    <w:name w:val="toc 2"/>
    <w:basedOn w:val="685"/>
    <w:next w:val="685"/>
    <w:uiPriority w:val="39"/>
    <w:unhideWhenUsed/>
    <w:pPr>
      <w:pBdr/>
      <w:spacing w:after="100"/>
      <w:ind w:left="220"/>
    </w:pPr>
  </w:style>
  <w:style w:type="paragraph" w:styleId="190">
    <w:name w:val="toc 3"/>
    <w:basedOn w:val="685"/>
    <w:next w:val="685"/>
    <w:uiPriority w:val="39"/>
    <w:unhideWhenUsed/>
    <w:pPr>
      <w:pBdr/>
      <w:spacing w:after="100"/>
      <w:ind w:left="440"/>
    </w:pPr>
  </w:style>
  <w:style w:type="paragraph" w:styleId="191">
    <w:name w:val="toc 4"/>
    <w:basedOn w:val="685"/>
    <w:next w:val="685"/>
    <w:uiPriority w:val="39"/>
    <w:unhideWhenUsed/>
    <w:pPr>
      <w:pBdr/>
      <w:spacing w:after="100"/>
      <w:ind w:left="660"/>
    </w:pPr>
  </w:style>
  <w:style w:type="paragraph" w:styleId="192">
    <w:name w:val="toc 5"/>
    <w:basedOn w:val="685"/>
    <w:next w:val="685"/>
    <w:uiPriority w:val="39"/>
    <w:unhideWhenUsed/>
    <w:pPr>
      <w:pBdr/>
      <w:spacing w:after="100"/>
      <w:ind w:left="880"/>
    </w:pPr>
  </w:style>
  <w:style w:type="paragraph" w:styleId="193">
    <w:name w:val="toc 6"/>
    <w:basedOn w:val="685"/>
    <w:next w:val="685"/>
    <w:uiPriority w:val="39"/>
    <w:unhideWhenUsed/>
    <w:pPr>
      <w:pBdr/>
      <w:spacing w:after="100"/>
      <w:ind w:left="1100"/>
    </w:pPr>
  </w:style>
  <w:style w:type="paragraph" w:styleId="194">
    <w:name w:val="toc 7"/>
    <w:basedOn w:val="685"/>
    <w:next w:val="685"/>
    <w:uiPriority w:val="39"/>
    <w:unhideWhenUsed/>
    <w:pPr>
      <w:pBdr/>
      <w:spacing w:after="100"/>
      <w:ind w:left="1320"/>
    </w:pPr>
  </w:style>
  <w:style w:type="paragraph" w:styleId="195">
    <w:name w:val="toc 8"/>
    <w:basedOn w:val="685"/>
    <w:next w:val="685"/>
    <w:uiPriority w:val="39"/>
    <w:unhideWhenUsed/>
    <w:pPr>
      <w:pBdr/>
      <w:spacing w:after="100"/>
      <w:ind w:left="1540"/>
    </w:pPr>
  </w:style>
  <w:style w:type="paragraph" w:styleId="196">
    <w:name w:val="toc 9"/>
    <w:basedOn w:val="685"/>
    <w:next w:val="685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85"/>
    <w:next w:val="685"/>
    <w:uiPriority w:val="99"/>
    <w:unhideWhenUsed/>
    <w:pPr>
      <w:pBdr/>
      <w:spacing w:after="0" w:afterAutospacing="0"/>
      <w:ind/>
    </w:pPr>
  </w:style>
  <w:style w:type="paragraph" w:styleId="685" w:default="1">
    <w:name w:val="Normal"/>
    <w:next w:val="685"/>
    <w:link w:val="685"/>
    <w:qFormat/>
    <w:pPr>
      <w:pBdr/>
      <w:spacing/>
      <w:ind/>
    </w:pPr>
    <w:rPr>
      <w:color w:val="000000"/>
      <w:sz w:val="24"/>
      <w:szCs w:val="24"/>
      <w:lang w:val="ru-RU" w:eastAsia="ru-RU" w:bidi="ar-SA"/>
    </w:rPr>
  </w:style>
  <w:style w:type="character" w:styleId="686">
    <w:name w:val="Основной шрифт абзаца"/>
    <w:next w:val="686"/>
    <w:link w:val="685"/>
    <w:semiHidden/>
    <w:pPr>
      <w:pBdr/>
      <w:spacing/>
      <w:ind/>
    </w:pPr>
  </w:style>
  <w:style w:type="table" w:styleId="687">
    <w:name w:val="Обычная таблица"/>
    <w:next w:val="687"/>
    <w:link w:val="68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8">
    <w:name w:val="Нет списка"/>
    <w:next w:val="688"/>
    <w:link w:val="685"/>
    <w:semiHidden/>
    <w:pPr>
      <w:pBdr/>
      <w:spacing/>
      <w:ind/>
    </w:pPr>
  </w:style>
  <w:style w:type="paragraph" w:styleId="689">
    <w:name w:val="Основной текст 2"/>
    <w:basedOn w:val="685"/>
    <w:next w:val="689"/>
    <w:link w:val="690"/>
    <w:pPr>
      <w:pBdr/>
      <w:spacing w:after="120" w:line="480" w:lineRule="auto"/>
      <w:ind/>
    </w:pPr>
    <w:rPr>
      <w:color w:val="000000"/>
    </w:rPr>
  </w:style>
  <w:style w:type="character" w:styleId="690">
    <w:name w:val="Основной текст 2 Знак"/>
    <w:next w:val="690"/>
    <w:link w:val="689"/>
    <w:pPr>
      <w:pBdr/>
      <w:spacing/>
      <w:ind/>
    </w:pPr>
    <w:rPr>
      <w:sz w:val="24"/>
      <w:szCs w:val="24"/>
      <w:lang w:val="ru-RU" w:eastAsia="ru-RU" w:bidi="ar-SA"/>
    </w:rPr>
  </w:style>
  <w:style w:type="paragraph" w:styleId="691">
    <w:name w:val="Основной текст с отступом 3"/>
    <w:basedOn w:val="685"/>
    <w:next w:val="691"/>
    <w:link w:val="692"/>
    <w:pPr>
      <w:pBdr/>
      <w:spacing w:after="120"/>
      <w:ind w:left="283"/>
    </w:pPr>
    <w:rPr>
      <w:color w:val="000000"/>
      <w:sz w:val="16"/>
      <w:szCs w:val="16"/>
    </w:rPr>
  </w:style>
  <w:style w:type="character" w:styleId="692">
    <w:name w:val="Основной текст с отступом 3 Знак"/>
    <w:next w:val="692"/>
    <w:link w:val="691"/>
    <w:pPr>
      <w:pBdr/>
      <w:spacing/>
      <w:ind/>
    </w:pPr>
    <w:rPr>
      <w:sz w:val="16"/>
      <w:szCs w:val="16"/>
      <w:lang w:val="ru-RU" w:eastAsia="ru-RU" w:bidi="ar-SA"/>
    </w:rPr>
  </w:style>
  <w:style w:type="paragraph" w:styleId="693">
    <w:name w:val="Название"/>
    <w:basedOn w:val="685"/>
    <w:next w:val="693"/>
    <w:link w:val="694"/>
    <w:qFormat/>
    <w:pPr>
      <w:pBdr/>
      <w:spacing/>
      <w:ind/>
      <w:jc w:val="center"/>
    </w:pPr>
    <w:rPr>
      <w:b/>
      <w:bCs/>
      <w:color w:val="000000"/>
      <w:sz w:val="28"/>
      <w:szCs w:val="28"/>
    </w:rPr>
  </w:style>
  <w:style w:type="character" w:styleId="694">
    <w:name w:val="Название Знак"/>
    <w:next w:val="694"/>
    <w:link w:val="693"/>
    <w:pPr>
      <w:pBdr/>
      <w:spacing/>
      <w:ind/>
    </w:pPr>
    <w:rPr>
      <w:b/>
      <w:bCs/>
      <w:sz w:val="28"/>
      <w:szCs w:val="28"/>
      <w:lang w:val="ru-RU" w:eastAsia="ru-RU" w:bidi="ar-SA"/>
    </w:rPr>
  </w:style>
  <w:style w:type="paragraph" w:styleId="695">
    <w:name w:val="Body Text 2"/>
    <w:basedOn w:val="685"/>
    <w:next w:val="695"/>
    <w:link w:val="685"/>
    <w:pPr>
      <w:pBdr/>
      <w:spacing/>
      <w:ind w:firstLine="567"/>
      <w:jc w:val="both"/>
    </w:pPr>
    <w:rPr>
      <w:color w:val="000000"/>
      <w:sz w:val="22"/>
      <w:szCs w:val="20"/>
    </w:rPr>
  </w:style>
  <w:style w:type="character" w:styleId="696">
    <w:name w:val="Знак примечания"/>
    <w:next w:val="696"/>
    <w:link w:val="685"/>
    <w:uiPriority w:val="99"/>
    <w:pPr>
      <w:pBdr/>
      <w:spacing/>
      <w:ind/>
    </w:pPr>
    <w:rPr>
      <w:sz w:val="16"/>
      <w:szCs w:val="16"/>
    </w:rPr>
  </w:style>
  <w:style w:type="paragraph" w:styleId="697">
    <w:name w:val="Текст примечания"/>
    <w:basedOn w:val="685"/>
    <w:next w:val="697"/>
    <w:link w:val="698"/>
    <w:uiPriority w:val="99"/>
    <w:pPr>
      <w:pBdr/>
      <w:spacing/>
      <w:ind/>
    </w:pPr>
    <w:rPr>
      <w:sz w:val="20"/>
      <w:szCs w:val="20"/>
    </w:rPr>
  </w:style>
  <w:style w:type="character" w:styleId="698">
    <w:name w:val="Текст примечания Знак"/>
    <w:next w:val="698"/>
    <w:link w:val="697"/>
    <w:uiPriority w:val="99"/>
    <w:pPr>
      <w:pBdr/>
      <w:spacing/>
      <w:ind/>
    </w:pPr>
    <w:rPr>
      <w:color w:val="000000"/>
    </w:rPr>
  </w:style>
  <w:style w:type="paragraph" w:styleId="699">
    <w:name w:val="Тема примечания"/>
    <w:basedOn w:val="697"/>
    <w:next w:val="697"/>
    <w:link w:val="700"/>
    <w:uiPriority w:val="99"/>
    <w:pPr>
      <w:pBdr/>
      <w:spacing/>
      <w:ind/>
    </w:pPr>
    <w:rPr>
      <w:b/>
      <w:bCs/>
    </w:rPr>
  </w:style>
  <w:style w:type="character" w:styleId="700">
    <w:name w:val="Тема примечания Знак"/>
    <w:next w:val="700"/>
    <w:link w:val="699"/>
    <w:uiPriority w:val="99"/>
    <w:pPr>
      <w:pBdr/>
      <w:spacing/>
      <w:ind/>
    </w:pPr>
    <w:rPr>
      <w:b/>
      <w:bCs/>
      <w:color w:val="000000"/>
    </w:rPr>
  </w:style>
  <w:style w:type="paragraph" w:styleId="701">
    <w:name w:val="Текст выноски"/>
    <w:basedOn w:val="685"/>
    <w:next w:val="701"/>
    <w:link w:val="702"/>
    <w:uiPriority w:val="99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702">
    <w:name w:val="Текст выноски Знак"/>
    <w:next w:val="702"/>
    <w:link w:val="701"/>
    <w:uiPriority w:val="99"/>
    <w:pPr>
      <w:pBdr/>
      <w:spacing/>
      <w:ind/>
    </w:pPr>
    <w:rPr>
      <w:rFonts w:ascii="Segoe UI" w:hAnsi="Segoe UI" w:cs="Segoe UI"/>
      <w:color w:val="000000"/>
      <w:sz w:val="18"/>
      <w:szCs w:val="18"/>
    </w:rPr>
  </w:style>
  <w:style w:type="paragraph" w:styleId="703">
    <w:name w:val="Основной текст 3"/>
    <w:basedOn w:val="685"/>
    <w:next w:val="703"/>
    <w:link w:val="704"/>
    <w:pPr>
      <w:pBdr/>
      <w:spacing w:after="120"/>
      <w:ind/>
    </w:pPr>
    <w:rPr>
      <w:sz w:val="16"/>
      <w:szCs w:val="16"/>
    </w:rPr>
  </w:style>
  <w:style w:type="character" w:styleId="704">
    <w:name w:val="Основной текст 3 Знак"/>
    <w:next w:val="704"/>
    <w:link w:val="703"/>
    <w:pPr>
      <w:pBdr/>
      <w:spacing/>
      <w:ind/>
    </w:pPr>
    <w:rPr>
      <w:color w:val="000000"/>
      <w:sz w:val="16"/>
      <w:szCs w:val="16"/>
    </w:rPr>
  </w:style>
  <w:style w:type="numbering" w:styleId="705">
    <w:name w:val="Нет списка1"/>
    <w:next w:val="688"/>
    <w:link w:val="685"/>
    <w:uiPriority w:val="99"/>
    <w:semiHidden/>
    <w:unhideWhenUsed/>
    <w:pPr>
      <w:pBdr/>
      <w:spacing/>
      <w:ind/>
    </w:pPr>
  </w:style>
  <w:style w:type="paragraph" w:styleId="706">
    <w:name w:val="Основной текст с отступом"/>
    <w:basedOn w:val="685"/>
    <w:next w:val="706"/>
    <w:link w:val="707"/>
    <w:uiPriority w:val="99"/>
    <w:pPr>
      <w:pBdr/>
      <w:spacing/>
      <w:ind w:right="-57" w:firstLine="720"/>
      <w:jc w:val="both"/>
    </w:pPr>
    <w:rPr>
      <w:color w:val="000000"/>
    </w:rPr>
  </w:style>
  <w:style w:type="character" w:styleId="707">
    <w:name w:val="Основной текст с отступом Знак"/>
    <w:next w:val="707"/>
    <w:link w:val="706"/>
    <w:uiPriority w:val="99"/>
    <w:pPr>
      <w:pBdr/>
      <w:spacing/>
      <w:ind/>
    </w:pPr>
    <w:rPr>
      <w:sz w:val="24"/>
      <w:szCs w:val="24"/>
    </w:rPr>
  </w:style>
  <w:style w:type="character" w:styleId="708">
    <w:name w:val="Гиперссылка"/>
    <w:next w:val="708"/>
    <w:link w:val="685"/>
    <w:uiPriority w:val="99"/>
    <w:pPr>
      <w:pBdr/>
      <w:spacing/>
      <w:ind/>
    </w:pPr>
    <w:rPr>
      <w:color w:val="0000ff"/>
      <w:u w:val="single"/>
    </w:rPr>
  </w:style>
  <w:style w:type="character" w:styleId="709">
    <w:name w:val="Основной текст_"/>
    <w:next w:val="709"/>
    <w:link w:val="710"/>
    <w:uiPriority w:val="99"/>
    <w:pPr>
      <w:pBdr/>
      <w:spacing/>
      <w:ind/>
    </w:pPr>
    <w:rPr>
      <w:shd w:val="clear" w:color="auto" w:fill="ffffff"/>
    </w:rPr>
  </w:style>
  <w:style w:type="paragraph" w:styleId="710">
    <w:name w:val="Основной текст2"/>
    <w:basedOn w:val="685"/>
    <w:next w:val="710"/>
    <w:link w:val="709"/>
    <w:uiPriority w:val="99"/>
    <w:pPr>
      <w:widowControl w:val="false"/>
      <w:pBdr/>
      <w:shd w:val="clear" w:color="auto" w:fill="ffffff"/>
      <w:spacing w:before="300" w:line="274" w:lineRule="exact"/>
      <w:ind w:hanging="1140"/>
      <w:jc w:val="both"/>
    </w:pPr>
    <w:rPr>
      <w:color w:val="000000"/>
      <w:sz w:val="20"/>
      <w:szCs w:val="20"/>
    </w:rPr>
  </w:style>
  <w:style w:type="character" w:styleId="711">
    <w:name w:val="Основной текст + Полужирный"/>
    <w:next w:val="711"/>
    <w:link w:val="685"/>
    <w:uiPriority w:val="99"/>
    <w:pPr>
      <w:pBdr/>
      <w:spacing/>
      <w:ind/>
    </w:pPr>
    <w:rPr>
      <w:rFonts w:ascii="Times New Roman" w:hAnsi="Times New Roman" w:cs="Times New Roman"/>
      <w:b/>
      <w:bCs/>
      <w:color w:val="000000"/>
      <w:spacing w:val="0"/>
      <w:position w:val="0"/>
      <w:shd w:val="clear" w:color="auto" w:fill="ffffff"/>
      <w:lang w:val="ru-RU" w:eastAsia="ru-RU"/>
    </w:rPr>
  </w:style>
  <w:style w:type="character" w:styleId="712">
    <w:name w:val="Основной текст (2) + Не полужирный"/>
    <w:next w:val="712"/>
    <w:link w:val="685"/>
    <w:uiPriority w:val="99"/>
    <w:pPr>
      <w:pBdr/>
      <w:spacing/>
      <w:ind/>
    </w:pPr>
    <w:rPr>
      <w:rFonts w:ascii="Times New Roman" w:hAnsi="Times New Roman" w:cs="Times New Roman"/>
      <w:b/>
      <w:bCs/>
      <w:color w:val="000000"/>
      <w:spacing w:val="0"/>
      <w:position w:val="0"/>
      <w:shd w:val="clear" w:color="auto" w:fill="ffffff"/>
      <w:lang w:val="ru-RU" w:eastAsia="ru-RU"/>
    </w:rPr>
  </w:style>
  <w:style w:type="paragraph" w:styleId="713">
    <w:name w:val="Рецензия"/>
    <w:next w:val="713"/>
    <w:link w:val="685"/>
    <w:hidden/>
    <w:uiPriority w:val="99"/>
    <w:semiHidden/>
    <w:pPr>
      <w:pBdr/>
      <w:spacing/>
      <w:ind/>
    </w:pPr>
    <w:rPr>
      <w:rFonts w:ascii="NTTimes/Cyrillic" w:hAnsi="NTTimes/Cyrillic" w:cs="NTTimes/Cyrillic"/>
      <w:sz w:val="24"/>
      <w:szCs w:val="24"/>
      <w:lang w:val="en-US" w:eastAsia="ru-RU" w:bidi="ar-SA"/>
    </w:rPr>
  </w:style>
  <w:style w:type="paragraph" w:styleId="714">
    <w:name w:val="Верхний колонтитул"/>
    <w:basedOn w:val="685"/>
    <w:next w:val="714"/>
    <w:link w:val="715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rFonts w:ascii="NTTimes/Cyrillic" w:hAnsi="NTTimes/Cyrillic" w:cs="NTTimes/Cyrillic"/>
      <w:color w:val="000000"/>
      <w:lang w:val="en-US"/>
    </w:rPr>
  </w:style>
  <w:style w:type="character" w:styleId="715">
    <w:name w:val="Верхний колонтитул Знак"/>
    <w:next w:val="715"/>
    <w:link w:val="714"/>
    <w:uiPriority w:val="99"/>
    <w:pPr>
      <w:pBdr/>
      <w:spacing/>
      <w:ind/>
    </w:pPr>
    <w:rPr>
      <w:rFonts w:ascii="NTTimes/Cyrillic" w:hAnsi="NTTimes/Cyrillic" w:cs="NTTimes/Cyrillic"/>
      <w:sz w:val="24"/>
      <w:szCs w:val="24"/>
      <w:lang w:val="en-US"/>
    </w:rPr>
  </w:style>
  <w:style w:type="paragraph" w:styleId="716">
    <w:name w:val="Нижний колонтитул"/>
    <w:basedOn w:val="685"/>
    <w:next w:val="716"/>
    <w:link w:val="717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rFonts w:ascii="NTTimes/Cyrillic" w:hAnsi="NTTimes/Cyrillic" w:cs="NTTimes/Cyrillic"/>
      <w:color w:val="000000"/>
      <w:lang w:val="en-US"/>
    </w:rPr>
  </w:style>
  <w:style w:type="character" w:styleId="717">
    <w:name w:val="Нижний колонтитул Знак"/>
    <w:next w:val="717"/>
    <w:link w:val="716"/>
    <w:uiPriority w:val="99"/>
    <w:pPr>
      <w:pBdr/>
      <w:spacing/>
      <w:ind/>
    </w:pPr>
    <w:rPr>
      <w:rFonts w:ascii="NTTimes/Cyrillic" w:hAnsi="NTTimes/Cyrillic" w:cs="NTTimes/Cyrillic"/>
      <w:sz w:val="24"/>
      <w:szCs w:val="24"/>
      <w:lang w:val="en-US"/>
    </w:rPr>
  </w:style>
  <w:style w:type="character" w:styleId="718">
    <w:name w:val="Строгий"/>
    <w:next w:val="718"/>
    <w:link w:val="685"/>
    <w:qFormat/>
    <w:pPr>
      <w:pBdr/>
      <w:spacing/>
      <w:ind/>
    </w:pPr>
    <w:rPr>
      <w:b/>
      <w:bCs/>
    </w:rPr>
  </w:style>
  <w:style w:type="paragraph" w:styleId="719">
    <w:name w:val="Текст сноски"/>
    <w:basedOn w:val="685"/>
    <w:next w:val="719"/>
    <w:link w:val="720"/>
    <w:pPr>
      <w:pBdr/>
      <w:spacing/>
      <w:ind/>
    </w:pPr>
    <w:rPr>
      <w:sz w:val="20"/>
      <w:szCs w:val="20"/>
    </w:rPr>
  </w:style>
  <w:style w:type="character" w:styleId="720">
    <w:name w:val="Текст сноски Знак"/>
    <w:next w:val="720"/>
    <w:link w:val="719"/>
    <w:pPr>
      <w:pBdr/>
      <w:spacing/>
      <w:ind/>
    </w:pPr>
    <w:rPr>
      <w:color w:val="000000"/>
    </w:rPr>
  </w:style>
  <w:style w:type="character" w:styleId="721">
    <w:name w:val="Знак сноски"/>
    <w:next w:val="721"/>
    <w:link w:val="685"/>
    <w:pPr>
      <w:pBdr/>
      <w:spacing/>
      <w:ind/>
    </w:pPr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revision>16</cp:revision>
  <dcterms:created xsi:type="dcterms:W3CDTF">2022-09-20T08:02:00Z</dcterms:created>
  <dcterms:modified xsi:type="dcterms:W3CDTF">2025-08-26T05:35:00Z</dcterms:modified>
  <cp:version>1048576</cp:version>
</cp:coreProperties>
</file>