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Style w:val="TableStyle0"/>
        <w:tblW w:w="10395" w:type="dxa"/>
        <w:jc w:val="left"/>
        <w:tblInd w:w="0" w:type="dxa"/>
        <w:tblLayout w:type="fixed"/>
        <w:tblCellMar>
          <w:top w:w="0" w:type="dxa"/>
          <w:left w:w="108" w:type="dxa"/>
          <w:bottom w:w="0" w:type="dxa"/>
          <w:right w:w="108" w:type="dxa"/>
        </w:tblCellMar>
        <w:tblLook w:val="04a0"/>
      </w:tblPr>
      <w:tblGrid>
        <w:gridCol w:w="944"/>
        <w:gridCol w:w="945"/>
        <w:gridCol w:w="945"/>
        <w:gridCol w:w="945"/>
        <w:gridCol w:w="945"/>
        <w:gridCol w:w="948"/>
        <w:gridCol w:w="945"/>
        <w:gridCol w:w="945"/>
        <w:gridCol w:w="946"/>
        <w:gridCol w:w="946"/>
        <w:gridCol w:w="939"/>
      </w:tblGrid>
      <w:tr>
        <w:trPr>
          <w:trHeight w:val="60" w:hRule="atLeast"/>
        </w:trPr>
        <w:tc>
          <w:tcPr>
            <w:tcW w:w="10393"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ДОГОВОР</w:t>
            </w:r>
          </w:p>
        </w:tc>
      </w:tr>
      <w:tr>
        <w:trPr>
          <w:trHeight w:val="265" w:hRule="atLeast"/>
        </w:trPr>
        <w:tc>
          <w:tcPr>
            <w:tcW w:w="10393"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купли-продажи</w:t>
            </w:r>
          </w:p>
        </w:tc>
      </w:tr>
      <w:tr>
        <w:trPr>
          <w:trHeight w:val="265" w:hRule="atLeast"/>
        </w:trPr>
        <w:tc>
          <w:tcPr>
            <w:tcW w:w="9454" w:type="dxa"/>
            <w:gridSpan w:val="10"/>
            <w:tcBorders/>
            <w:shd w:color="FFFFFF" w:fill="auto" w:val="clear"/>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39" w:type="dxa"/>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Arial" w:hAnsi="Arial"/>
                <w:kern w:val="0"/>
                <w:sz w:val="16"/>
                <w:szCs w:val="20"/>
              </w:rPr>
            </w:r>
          </w:p>
        </w:tc>
      </w:tr>
      <w:tr>
        <w:trPr>
          <w:trHeight w:val="60" w:hRule="atLeast"/>
        </w:trPr>
        <w:tc>
          <w:tcPr>
            <w:tcW w:w="10393"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Мы, нижеподписавшиеся:</w:t>
            </w:r>
          </w:p>
        </w:tc>
      </w:tr>
      <w:tr>
        <w:trPr>
          <w:trHeight w:val="60" w:hRule="atLeast"/>
        </w:trPr>
        <w:tc>
          <w:tcPr>
            <w:tcW w:w="10393"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Гражданин РФ, в лице Гражданина РФ Финансового управляющего, действующего на основании решения Арбитражного суда по делу №, именуемый в дальнейшем «Продавец», с одной стороны, и</w:t>
            </w:r>
          </w:p>
        </w:tc>
      </w:tr>
      <w:tr>
        <w:trPr>
          <w:trHeight w:val="60" w:hRule="atLeast"/>
        </w:trPr>
        <w:tc>
          <w:tcPr>
            <w:tcW w:w="10393"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60" w:hRule="atLeast"/>
        </w:trPr>
        <w:tc>
          <w:tcPr>
            <w:tcW w:w="10393"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1. Предмет договора</w:t>
            </w:r>
          </w:p>
        </w:tc>
      </w:tr>
      <w:tr>
        <w:trPr>
          <w:trHeight w:val="60" w:hRule="atLeast"/>
        </w:trPr>
        <w:tc>
          <w:tcPr>
            <w:tcW w:w="10393"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1.1.  В соответствии с Протоколом №  от г. по продаже имущества , размещенным на торговой площадке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w:t>
            </w:r>
          </w:p>
        </w:tc>
      </w:tr>
      <w:tr>
        <w:trPr>
          <w:trHeight w:val="60" w:hRule="atLeast"/>
        </w:trPr>
        <w:tc>
          <w:tcPr>
            <w:tcW w:w="10393" w:type="dxa"/>
            <w:gridSpan w:val="11"/>
            <w:tcBorders/>
            <w:shd w:color="FFFFFF" w:fill="FFFFFF"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rHeight w:val="60" w:hRule="atLeas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1.2. Транспортное средство принадлежит Продавцу  на праве собственности на основании Паспорта транспортного средства , Свидетельства о регистрации ТС .</w:t>
            </w:r>
          </w:p>
        </w:tc>
      </w:tr>
      <w:tr>
        <w:trPr>
          <w:trHeight w:val="60" w:hRule="atLeast"/>
        </w:trPr>
        <w:tc>
          <w:tcPr>
            <w:tcW w:w="10393"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1.3. На момент составления Договора купли-продажи на вышеуказанном имуществе обременения/ограничения отсутствуют.</w:t>
            </w:r>
          </w:p>
        </w:tc>
      </w:tr>
      <w:tr>
        <w:trPr>
          <w:trHeight w:val="60" w:hRule="atLeast"/>
        </w:trPr>
        <w:tc>
          <w:tcPr>
            <w:tcW w:w="10393"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2. Обязанности Сторон</w:t>
            </w:r>
          </w:p>
        </w:tc>
      </w:tr>
      <w:tr>
        <w:trPr>
          <w:trHeight w:val="60" w:hRule="atLeast"/>
        </w:trPr>
        <w:tc>
          <w:tcPr>
            <w:tcW w:w="10393"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2.1. Продавец обязуется:</w:t>
            </w:r>
          </w:p>
        </w:tc>
      </w:tr>
      <w:tr>
        <w:trPr>
          <w:trHeight w:val="60" w:hRule="atLeast"/>
        </w:trPr>
        <w:tc>
          <w:tcPr>
            <w:tcW w:w="10393"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2.1.1. Передать Покупателю Имущество по акту приема-передачи.</w:t>
            </w:r>
          </w:p>
        </w:tc>
      </w:tr>
      <w:tr>
        <w:trPr>
          <w:trHeight w:val="60" w:hRule="atLeast"/>
        </w:trPr>
        <w:tc>
          <w:tcPr>
            <w:tcW w:w="10393"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60" w:hRule="atLeast"/>
        </w:trPr>
        <w:tc>
          <w:tcPr>
            <w:tcW w:w="10393"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2.2. Покупатель обязан:</w:t>
            </w:r>
          </w:p>
        </w:tc>
      </w:tr>
      <w:tr>
        <w:trPr>
          <w:trHeight w:val="280" w:hRule="atLeast"/>
        </w:trPr>
        <w:tc>
          <w:tcPr>
            <w:tcW w:w="10393" w:type="dxa"/>
            <w:gridSpan w:val="11"/>
            <w:tcBorders/>
            <w:shd w:color="FFFFFF" w:fill="auto" w:val="clear"/>
            <w:vAlign w:val="bottom"/>
          </w:tcPr>
          <w:p>
            <w:pPr>
              <w:pStyle w:val="Normal"/>
              <w:bidi w:val="0"/>
              <w:spacing w:lineRule="auto" w:line="240" w:before="0" w:after="0"/>
              <w:jc w:val="left"/>
              <w:rPr>
                <w:rFonts w:ascii="Arial" w:hAnsi="Arial"/>
                <w:kern w:val="0"/>
                <w:sz w:val="16"/>
                <w:szCs w:val="20"/>
              </w:rPr>
            </w:pPr>
            <w:r>
              <w:rPr>
                <w:rFonts w:ascii="Times New Roman" w:hAnsi="Times New Roman"/>
                <w:kern w:val="0"/>
                <w:sz w:val="20"/>
                <w:szCs w:val="20"/>
              </w:rPr>
              <w:t>2.2.1. Оплатить полную стоимость имущества в соответствии с настоящим договором.</w:t>
            </w:r>
          </w:p>
        </w:tc>
      </w:tr>
      <w:tr>
        <w:trPr/>
        <w:tc>
          <w:tcPr>
            <w:tcW w:w="10393"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c>
          <w:tcPr>
            <w:tcW w:w="10393"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3. Цена и порядок расчетов</w:t>
            </w:r>
          </w:p>
        </w:tc>
      </w:tr>
      <w:tr>
        <w:trPr/>
        <w:tc>
          <w:tcPr>
            <w:tcW w:w="10393" w:type="dxa"/>
            <w:gridSpan w:val="11"/>
            <w:tcBorders/>
            <w:shd w:color="FFFFFF" w:fill="auto" w:val="clear"/>
            <w:vAlign w:val="bottom"/>
          </w:tcPr>
          <w:p>
            <w:pPr>
              <w:pStyle w:val="Normal"/>
              <w:bidi w:val="0"/>
              <w:spacing w:lineRule="auto" w:line="240" w:before="0" w:after="0"/>
              <w:jc w:val="left"/>
              <w:rPr>
                <w:rFonts w:ascii="Arial" w:hAnsi="Arial"/>
                <w:kern w:val="0"/>
                <w:sz w:val="16"/>
                <w:szCs w:val="20"/>
              </w:rPr>
            </w:pPr>
            <w:r>
              <w:rPr>
                <w:rFonts w:ascii="Times New Roman" w:hAnsi="Times New Roman"/>
                <w:kern w:val="0"/>
                <w:sz w:val="20"/>
                <w:szCs w:val="20"/>
              </w:rPr>
              <w:t>3.1. Стоимость имущества составляет:</w:t>
            </w:r>
          </w:p>
        </w:tc>
      </w:tr>
      <w:tr>
        <w:trPr/>
        <w:tc>
          <w:tcPr>
            <w:tcW w:w="10393"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г. на сайте  , является окончательной и изменению не подлежит.</w:t>
            </w:r>
          </w:p>
        </w:tc>
      </w:tr>
      <w:tr>
        <w:trPr>
          <w:trHeight w:val="530" w:hRule="atLeast"/>
        </w:trPr>
        <w:tc>
          <w:tcPr>
            <w:tcW w:w="10393"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60" w:hRule="atLeast"/>
        </w:trPr>
        <w:tc>
          <w:tcPr>
            <w:tcW w:w="10393"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3.3. Оплата стоимости имущества по настоящему договору осуществляется Покупателем безналичным платежом на расчетный счет:</w:t>
            </w:r>
          </w:p>
        </w:tc>
      </w:tr>
      <w:tr>
        <w:trPr>
          <w:trHeight w:val="60" w:hRule="atLeast"/>
        </w:trPr>
        <w:tc>
          <w:tcPr>
            <w:tcW w:w="10393" w:type="dxa"/>
            <w:gridSpan w:val="11"/>
            <w:tcBorders/>
            <w:shd w:color="FFFFFF" w:fill="auto" w:val="clear"/>
            <w:vAlign w:val="bottom"/>
          </w:tcPr>
          <w:p>
            <w:pPr>
              <w:pStyle w:val="Normal"/>
              <w:bidi w:val="0"/>
              <w:spacing w:lineRule="auto" w:line="240" w:before="0" w:after="0"/>
              <w:jc w:val="left"/>
              <w:rPr>
                <w:rFonts w:ascii="Arial" w:hAnsi="Arial"/>
                <w:kern w:val="0"/>
                <w:sz w:val="16"/>
                <w:szCs w:val="20"/>
              </w:rPr>
            </w:pPr>
            <w:r>
              <w:rPr>
                <w:rFonts w:ascii="Arial" w:hAnsi="Arial"/>
                <w:kern w:val="0"/>
                <w:sz w:val="16"/>
                <w:szCs w:val="20"/>
              </w:rPr>
            </w:r>
          </w:p>
        </w:tc>
      </w:tr>
      <w:tr>
        <w:trPr>
          <w:trHeight w:val="60" w:hRule="atLeast"/>
        </w:trPr>
        <w:tc>
          <w:tcPr>
            <w:tcW w:w="10393" w:type="dxa"/>
            <w:gridSpan w:val="11"/>
            <w:tcBorders/>
            <w:shd w:color="FFFFFF" w:fill="auto" w:val="clear"/>
            <w:vAlign w:val="bottom"/>
          </w:tcPr>
          <w:p>
            <w:pPr>
              <w:pStyle w:val="Normal"/>
              <w:bidi w:val="0"/>
              <w:spacing w:lineRule="auto" w:line="240" w:before="0" w:after="0"/>
              <w:jc w:val="left"/>
              <w:rPr>
                <w:rFonts w:ascii="Arial" w:hAnsi="Arial"/>
                <w:kern w:val="0"/>
                <w:sz w:val="16"/>
                <w:szCs w:val="20"/>
              </w:rPr>
            </w:pPr>
            <w:r>
              <w:rPr>
                <w:rFonts w:ascii="Times New Roman" w:hAnsi="Times New Roman"/>
                <w:kern w:val="0"/>
                <w:sz w:val="20"/>
                <w:szCs w:val="20"/>
              </w:rPr>
              <w:t>в течение тридцати дней с даты подписания настоящего договора.</w:t>
            </w:r>
          </w:p>
        </w:tc>
      </w:tr>
      <w:tr>
        <w:trPr>
          <w:trHeight w:val="60" w:hRule="atLeast"/>
        </w:trPr>
        <w:tc>
          <w:tcPr>
            <w:tcW w:w="10393"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ВНИМАНИЕ! В НАЗНАЧЕНИЕ ПЛАТЕЖА ПРИ ПЕРЕВОДЕ ОСНОВНОЙ СУММЫ ПО ТОРГАМ УКАЗЫВАЕТСЯ: "ФИО ДОЛЖНИКА, оплата по дкп от ... г. по имуществу ...»</w:t>
            </w:r>
          </w:p>
        </w:tc>
      </w:tr>
      <w:tr>
        <w:trPr>
          <w:trHeight w:val="60" w:hRule="atLeast"/>
        </w:trPr>
        <w:tc>
          <w:tcPr>
            <w:tcW w:w="944"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8"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6"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6"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39"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rHeight w:val="60" w:hRule="atLeast"/>
        </w:trPr>
        <w:tc>
          <w:tcPr>
            <w:tcW w:w="10393"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60" w:hRule="atLeast"/>
        </w:trPr>
        <w:tc>
          <w:tcPr>
            <w:tcW w:w="10393"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4. Передача имущества и переход риска случайной гибели имущества</w:t>
            </w:r>
          </w:p>
        </w:tc>
      </w:tr>
      <w:tr>
        <w:trPr>
          <w:trHeight w:val="935" w:hRule="atLeast"/>
        </w:trPr>
        <w:tc>
          <w:tcPr>
            <w:tcW w:w="10393"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5" w:hRule="atLeast"/>
        </w:trPr>
        <w:tc>
          <w:tcPr>
            <w:tcW w:w="10393"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0" w:hRule="atLeast"/>
        </w:trPr>
        <w:tc>
          <w:tcPr>
            <w:tcW w:w="10393"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85" w:hRule="atLeast"/>
        </w:trPr>
        <w:tc>
          <w:tcPr>
            <w:tcW w:w="10393"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90" w:hRule="atLeast"/>
        </w:trPr>
        <w:tc>
          <w:tcPr>
            <w:tcW w:w="10393"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5. Возникновение права собственности</w:t>
            </w:r>
          </w:p>
        </w:tc>
      </w:tr>
      <w:tr>
        <w:trPr>
          <w:trHeight w:val="1270" w:hRule="atLeast"/>
        </w:trPr>
        <w:tc>
          <w:tcPr>
            <w:tcW w:w="10393"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90" w:hRule="atLeast"/>
        </w:trPr>
        <w:tc>
          <w:tcPr>
            <w:tcW w:w="10393"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6. Ответственность Сторон</w:t>
            </w:r>
          </w:p>
        </w:tc>
      </w:tr>
      <w:tr>
        <w:trPr>
          <w:trHeight w:val="515" w:hRule="atLeast"/>
        </w:trPr>
        <w:tc>
          <w:tcPr>
            <w:tcW w:w="10393"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30" w:hRule="atLeast"/>
        </w:trPr>
        <w:tc>
          <w:tcPr>
            <w:tcW w:w="10393"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atLeast"/>
        </w:trPr>
        <w:tc>
          <w:tcPr>
            <w:tcW w:w="10393"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90" w:hRule="atLeast"/>
        </w:trPr>
        <w:tc>
          <w:tcPr>
            <w:tcW w:w="10393"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7. Порядок разрешения споров</w:t>
            </w:r>
          </w:p>
        </w:tc>
      </w:tr>
      <w:tr>
        <w:trPr>
          <w:trHeight w:val="540" w:hRule="atLeast"/>
        </w:trPr>
        <w:tc>
          <w:tcPr>
            <w:tcW w:w="10393"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90" w:hRule="atLeast"/>
        </w:trPr>
        <w:tc>
          <w:tcPr>
            <w:tcW w:w="10393"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8. Условия изменения и расторжения договора</w:t>
            </w:r>
          </w:p>
        </w:tc>
      </w:tr>
      <w:tr>
        <w:trPr>
          <w:trHeight w:val="590" w:hRule="atLeast"/>
        </w:trPr>
        <w:tc>
          <w:tcPr>
            <w:tcW w:w="10393"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70" w:hRule="atLeas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r>
          </w:p>
        </w:tc>
      </w:tr>
      <w:tr>
        <w:trPr>
          <w:trHeight w:val="1020" w:hRule="atLeas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r>
          </w:p>
        </w:tc>
      </w:tr>
      <w:tr>
        <w:trPr>
          <w:trHeight w:val="780" w:hRule="atLeast"/>
        </w:trPr>
        <w:tc>
          <w:tcPr>
            <w:tcW w:w="10393"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90" w:hRule="atLeast"/>
        </w:trPr>
        <w:tc>
          <w:tcPr>
            <w:tcW w:w="10393"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9. Заключительные положения</w:t>
            </w:r>
          </w:p>
        </w:tc>
      </w:tr>
      <w:tr>
        <w:trPr>
          <w:trHeight w:val="590" w:hRule="atLeast"/>
        </w:trPr>
        <w:tc>
          <w:tcPr>
            <w:tcW w:w="10393"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atLeast"/>
        </w:trPr>
        <w:tc>
          <w:tcPr>
            <w:tcW w:w="10393"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9.2. Сторонами договора рассмотрены все документы, подготовленные в связи с продажей имущества.</w:t>
            </w:r>
          </w:p>
        </w:tc>
      </w:tr>
      <w:tr>
        <w:trPr>
          <w:trHeight w:val="265" w:hRule="atLeast"/>
        </w:trPr>
        <w:tc>
          <w:tcPr>
            <w:tcW w:w="10393"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9.3. Настоящий Договор составлен в 2-х экземплярах, имеющих одинаковую юридическую силу.</w:t>
            </w:r>
          </w:p>
        </w:tc>
      </w:tr>
      <w:tr>
        <w:trPr>
          <w:trHeight w:val="985" w:hRule="atLeast"/>
        </w:trPr>
        <w:tc>
          <w:tcPr>
            <w:tcW w:w="10393"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90" w:hRule="atLeast"/>
        </w:trPr>
        <w:tc>
          <w:tcPr>
            <w:tcW w:w="10393"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10. Реквизиты и подписи Сторон</w:t>
            </w:r>
          </w:p>
        </w:tc>
      </w:tr>
      <w:tr>
        <w:trPr>
          <w:trHeight w:val="290" w:hRule="atLeast"/>
        </w:trPr>
        <w:tc>
          <w:tcPr>
            <w:tcW w:w="4724" w:type="dxa"/>
            <w:gridSpan w:val="5"/>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Продавец:</w:t>
            </w:r>
          </w:p>
        </w:tc>
        <w:tc>
          <w:tcPr>
            <w:tcW w:w="5669" w:type="dxa"/>
            <w:gridSpan w:val="6"/>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Покупатель:</w:t>
            </w:r>
          </w:p>
        </w:tc>
      </w:tr>
      <w:tr>
        <w:trPr>
          <w:trHeight w:val="290" w:hRule="atLeast"/>
        </w:trPr>
        <w:tc>
          <w:tcPr>
            <w:tcW w:w="4724" w:type="dxa"/>
            <w:gridSpan w:val="5"/>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Гражданин РФ</w:t>
            </w:r>
          </w:p>
        </w:tc>
        <w:tc>
          <w:tcPr>
            <w:tcW w:w="5669" w:type="dxa"/>
            <w:gridSpan w:val="6"/>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Гражданин РФ</w:t>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5669" w:type="dxa"/>
            <w:gridSpan w:val="6"/>
            <w:vMerge w:val="restart"/>
            <w:tcBorders/>
            <w:shd w:color="FFFFFF" w:fill="auto" w:val="clear"/>
          </w:tcPr>
          <w:p>
            <w:pPr>
              <w:pStyle w:val="Normal"/>
              <w:bidi w:val="0"/>
              <w:spacing w:lineRule="auto" w:line="240" w:before="0" w:after="0"/>
              <w:jc w:val="both"/>
              <w:rPr>
                <w:rFonts w:ascii="Times New Roman" w:hAnsi="Times New Roman"/>
                <w:b/>
                <w:sz w:val="20"/>
                <w:szCs w:val="20"/>
              </w:rPr>
            </w:pPr>
            <w:r>
              <w:rPr>
                <w:rFonts w:ascii="Times New Roman" w:hAnsi="Times New Roman"/>
                <w:b/>
                <w:sz w:val="20"/>
                <w:szCs w:val="20"/>
              </w:rPr>
            </w:r>
          </w:p>
        </w:tc>
      </w:tr>
      <w:tr>
        <w:trPr/>
        <w:tc>
          <w:tcPr>
            <w:tcW w:w="2834" w:type="dxa"/>
            <w:gridSpan w:val="3"/>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Реквизиты:</w:t>
            </w:r>
          </w:p>
        </w:tc>
        <w:tc>
          <w:tcPr>
            <w:tcW w:w="94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5669" w:type="dxa"/>
            <w:gridSpan w:val="6"/>
            <w:vMerge w:val="continue"/>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5669" w:type="dxa"/>
            <w:gridSpan w:val="6"/>
            <w:vMerge w:val="continue"/>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bidi w:val="0"/>
              <w:spacing w:lineRule="auto" w:line="240" w:before="0" w:after="0"/>
              <w:jc w:val="left"/>
              <w:rPr>
                <w:rFonts w:ascii="Arial" w:hAnsi="Arial"/>
                <w:kern w:val="0"/>
                <w:sz w:val="16"/>
                <w:szCs w:val="20"/>
              </w:rPr>
            </w:pPr>
            <w:r>
              <w:rPr>
                <w:rFonts w:ascii="Arial" w:hAnsi="Arial"/>
                <w:kern w:val="0"/>
                <w:sz w:val="16"/>
                <w:szCs w:val="20"/>
              </w:rPr>
            </w:r>
          </w:p>
        </w:tc>
        <w:tc>
          <w:tcPr>
            <w:tcW w:w="5669" w:type="dxa"/>
            <w:gridSpan w:val="6"/>
            <w:vMerge w:val="continue"/>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5669" w:type="dxa"/>
            <w:gridSpan w:val="6"/>
            <w:vMerge w:val="continue"/>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944"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5669" w:type="dxa"/>
            <w:gridSpan w:val="6"/>
            <w:vMerge w:val="continue"/>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b/>
                <w:kern w:val="0"/>
                <w:sz w:val="20"/>
                <w:szCs w:val="20"/>
              </w:rPr>
              <w:t>Финансовый управляющий</w:t>
            </w:r>
          </w:p>
        </w:tc>
        <w:tc>
          <w:tcPr>
            <w:tcW w:w="5669" w:type="dxa"/>
            <w:gridSpan w:val="6"/>
            <w:vMerge w:val="continue"/>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8" w:type="dxa"/>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6" w:type="dxa"/>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6" w:type="dxa"/>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39" w:type="dxa"/>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5669" w:type="dxa"/>
            <w:gridSpan w:val="6"/>
            <w:tcBorders/>
            <w:shd w:color="FFFFFF" w:fill="auto" w:val="clear"/>
            <w:vAlign w:val="bottom"/>
          </w:tcPr>
          <w:p>
            <w:pPr>
              <w:pStyle w:val="Normal"/>
              <w:bidi w:val="0"/>
              <w:spacing w:lineRule="auto" w:line="240" w:before="0" w:after="0"/>
              <w:jc w:val="both"/>
              <w:rPr>
                <w:rFonts w:ascii="Times New Roman" w:hAnsi="Times New Roman"/>
                <w:b/>
                <w:sz w:val="20"/>
                <w:szCs w:val="20"/>
              </w:rPr>
            </w:pPr>
            <w:r>
              <w:rPr>
                <w:rFonts w:ascii="Times New Roman" w:hAnsi="Times New Roman"/>
                <w:b/>
                <w:sz w:val="20"/>
                <w:szCs w:val="20"/>
              </w:rPr>
            </w:r>
          </w:p>
        </w:tc>
      </w:tr>
    </w:tbl>
    <w:sectPr>
      <w:type w:val="nextPage"/>
      <w:pgSz w:w="11906" w:h="16838"/>
      <w:pgMar w:left="567" w:right="567" w:gutter="0" w:header="0" w:top="567" w:footer="0" w:bottom="567"/>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roman"/>
    <w:pitch w:val="variable"/>
  </w:font>
  <w:font w:name="Times New Roman">
    <w:charset w:val="cc"/>
    <w:family w:val="roman"/>
    <w:pitch w:val="variable"/>
  </w:font>
  <w:font w:name="Arial">
    <w:charset w:val="cc"/>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Arial"/>
        <w:kern w:val="2"/>
        <w:szCs w:val="24"/>
        <w:lang w:val="ru-RU" w:eastAsia="zh-CN" w:bidi="hi-IN"/>
      </w:rPr>
    </w:rPrDefault>
    <w:pPrDefault>
      <w:pPr>
        <w:suppressAutoHyphens w:val="true"/>
      </w:pPr>
    </w:pPrDefault>
  </w:docDefaults>
  <w:style w:type="paragraph" w:styleId="Normal">
    <w:name w:val="Normal"/>
    <w:qFormat/>
    <w:pPr>
      <w:widowControl w:val="false"/>
      <w:suppressAutoHyphens w:val="true"/>
      <w:bidi w:val="0"/>
      <w:spacing w:before="0" w:after="0"/>
      <w:jc w:val="left"/>
    </w:pPr>
    <w:rPr>
      <w:rFonts w:ascii="Calibri" w:hAnsi="Calibri" w:eastAsia="NSimSun" w:cs="Arial"/>
      <w:color w:val="auto"/>
      <w:kern w:val="2"/>
      <w:sz w:val="22"/>
      <w:szCs w:val="24"/>
      <w:lang w:val="ru-RU" w:eastAsia="zh-CN" w:bidi="hi-IN"/>
    </w:rPr>
  </w:style>
  <w:style w:type="paragraph" w:styleId="Style14">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15">
    <w:name w:val="Указатель"/>
    <w:basedOn w:val="Normal"/>
    <w:qFormat/>
    <w:pPr>
      <w:suppressLineNumbers/>
    </w:pPr>
    <w:rPr>
      <w:rFonts w:cs="Arial"/>
    </w:rPr>
  </w:style>
  <w:style w:type="paragraph" w:styleId="Style16">
    <w:name w:val="Содержимое таблицы"/>
    <w:basedOn w:val="Normal"/>
    <w:qFormat/>
    <w:pPr>
      <w:suppressLineNumbers/>
    </w:pPr>
    <w:rPr/>
  </w:style>
  <w:style w:type="paragraph" w:styleId="Style17">
    <w:name w:val="Заголовок таблицы"/>
    <w:basedOn w:val="Style16"/>
    <w:qFormat/>
    <w:pPr>
      <w:suppressLineNumbers/>
      <w:jc w:val="center"/>
    </w:pPr>
    <w:rPr>
      <w:b/>
      <w:bCs/>
    </w:rPr>
  </w:style>
  <w:style w:type="table" w:styleId="TableStyle0">
    <w:name w:val="TableStyle0"/>
    <w:pPr>
      <w:spacing w:after="0" w:line="240" w:lineRule="auto"/>
    </w:pPr>
    <w:rPr>
      <w:sz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TotalTime>
  <Application>LibreOffice/24.2.7.2$Windows_X86_64 LibreOffice_project/ee3885777aa7032db5a9b65deec9457448a91162</Application>
  <AppVersion>15.0000</AppVersion>
  <Pages>2</Pages>
  <Words>988</Words>
  <Characters>6986</Characters>
  <CharactersWithSpaces>7931</CharactersWithSpaces>
  <Paragraphs>54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2025-07-28T16:05:53Z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