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77777777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7777777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77777777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24C62655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77777777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4C642F83" w:rsidR="005572EC" w:rsidRPr="00AD761D" w:rsidRDefault="002B5DF9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19</w:t>
      </w:r>
      <w:r w:rsidR="005572EC" w:rsidRPr="005972D0">
        <w:rPr>
          <w:b/>
        </w:rPr>
        <w:t xml:space="preserve"> </w:t>
      </w:r>
      <w:r>
        <w:rPr>
          <w:b/>
        </w:rPr>
        <w:t>августа</w:t>
      </w:r>
      <w:r w:rsidR="00855E03">
        <w:rPr>
          <w:b/>
        </w:rPr>
        <w:t xml:space="preserve"> </w:t>
      </w:r>
      <w:r w:rsidR="005572EC" w:rsidRPr="005972D0">
        <w:rPr>
          <w:b/>
        </w:rPr>
        <w:t>202</w:t>
      </w:r>
      <w:r w:rsidR="00AD761D">
        <w:rPr>
          <w:b/>
        </w:rPr>
        <w:t>5</w:t>
      </w:r>
      <w:r w:rsidR="005572EC" w:rsidRPr="005972D0">
        <w:rPr>
          <w:b/>
        </w:rPr>
        <w:t xml:space="preserve"> г.</w:t>
      </w:r>
    </w:p>
    <w:p w14:paraId="4FEC8B9A" w14:textId="0835F4CA" w:rsidR="00237B62" w:rsidRPr="00984A66" w:rsidRDefault="00784F64" w:rsidP="00AD761D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D349BE" w:rsidRPr="00D349BE">
        <w:rPr>
          <w:i/>
        </w:rPr>
        <w:t>239477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77777777" w:rsidR="00C943C0" w:rsidRPr="00F562CD" w:rsidRDefault="001C7132" w:rsidP="00F6474C">
            <w:pPr>
              <w:jc w:val="center"/>
            </w:pPr>
            <w:r w:rsidRPr="009E652B"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2A594649" w:rsidR="00C943C0" w:rsidRPr="00F562CD" w:rsidRDefault="00D349BE" w:rsidP="00F6474C">
            <w:pPr>
              <w:jc w:val="center"/>
            </w:pPr>
            <w:r w:rsidRPr="00D349BE">
              <w:t>РАД-419911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127F89E5" w14:textId="77777777" w:rsidR="00D349BE" w:rsidRPr="00203E4E" w:rsidRDefault="00D349BE" w:rsidP="00D349BE">
            <w:pPr>
              <w:autoSpaceDE w:val="0"/>
              <w:autoSpaceDN w:val="0"/>
              <w:outlineLvl w:val="0"/>
              <w:rPr>
                <w:b/>
              </w:rPr>
            </w:pPr>
            <w:bookmarkStart w:id="0" w:name="OLE_LINK33"/>
            <w:bookmarkStart w:id="1" w:name="OLE_LINK32"/>
            <w:r w:rsidRPr="00203E4E">
              <w:rPr>
                <w:b/>
              </w:rPr>
              <w:t xml:space="preserve">ЛОТ 1 </w:t>
            </w:r>
          </w:p>
          <w:p w14:paraId="41D9D774" w14:textId="77777777" w:rsidR="00D349BE" w:rsidRPr="00203E4E" w:rsidRDefault="00D349BE" w:rsidP="00D349BE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</w:rPr>
            </w:pPr>
            <w:r w:rsidRPr="00203E4E">
              <w:rPr>
                <w:b/>
              </w:rPr>
              <w:t xml:space="preserve">Адрес имущества: </w:t>
            </w:r>
            <w:r w:rsidRPr="00203E4E">
              <w:rPr>
                <w:rStyle w:val="fontstyle01"/>
              </w:rPr>
              <w:t xml:space="preserve">Курганская область, Куртамышский район, г. Куртамыш, ул. 22 Партсъезда, д. 28. </w:t>
            </w:r>
          </w:p>
          <w:p w14:paraId="139AC7AB" w14:textId="77777777" w:rsidR="00F5485E" w:rsidRDefault="00D349BE" w:rsidP="00D349BE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</w:rPr>
            </w:pPr>
            <w:r w:rsidRPr="00203E4E">
              <w:rPr>
                <w:b/>
              </w:rPr>
              <w:t xml:space="preserve">Объект: </w:t>
            </w:r>
            <w:r w:rsidRPr="00203E4E">
              <w:rPr>
                <w:bCs/>
              </w:rPr>
              <w:t xml:space="preserve">право заключения договора аренды </w:t>
            </w:r>
            <w:r w:rsidRPr="00203E4E">
              <w:rPr>
                <w:rStyle w:val="fontstyle01"/>
              </w:rPr>
              <w:t>части нежилого помещения в помещении с кадастровым номером 45:09:020207:1538 общей площадью 227,7 кв.м., находящегося на 1 этаже.</w:t>
            </w:r>
          </w:p>
          <w:p w14:paraId="5D2B5EFF" w14:textId="4C5C5DA8" w:rsidR="00D349BE" w:rsidRPr="00203E4E" w:rsidRDefault="00D349BE" w:rsidP="00D349BE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203E4E">
              <w:rPr>
                <w:b/>
              </w:rPr>
              <w:t>Общая площадь помещений, передаваемых в аренду:</w:t>
            </w:r>
            <w:r w:rsidRPr="00203E4E">
              <w:rPr>
                <w:bCs/>
              </w:rPr>
              <w:t xml:space="preserve"> 48,2 кв.м. (с</w:t>
            </w:r>
            <w:r w:rsidR="00F5485E">
              <w:rPr>
                <w:bCs/>
              </w:rPr>
              <w:t xml:space="preserve"> </w:t>
            </w:r>
            <w:r w:rsidRPr="00203E4E">
              <w:rPr>
                <w:bCs/>
              </w:rPr>
              <w:t>допустимым отклонением +/-10%)</w:t>
            </w:r>
          </w:p>
          <w:p w14:paraId="63E83F04" w14:textId="77777777" w:rsidR="00D349BE" w:rsidRPr="00203E4E" w:rsidRDefault="00D349BE" w:rsidP="00D349BE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203E4E">
              <w:rPr>
                <w:b/>
              </w:rPr>
              <w:t xml:space="preserve">Срок договора аренды: </w:t>
            </w:r>
            <w:r w:rsidRPr="00203E4E">
              <w:rPr>
                <w:bCs/>
              </w:rPr>
              <w:t>5 (Пять) лет с даты подписания акта приема-передачи.</w:t>
            </w:r>
          </w:p>
          <w:p w14:paraId="5FC6693F" w14:textId="77777777" w:rsidR="00D349BE" w:rsidRPr="00203E4E" w:rsidRDefault="00D349BE" w:rsidP="00D349BE">
            <w:pPr>
              <w:tabs>
                <w:tab w:val="left" w:pos="540"/>
                <w:tab w:val="left" w:pos="720"/>
              </w:tabs>
              <w:jc w:val="both"/>
            </w:pPr>
            <w:bookmarkStart w:id="2" w:name="_Hlk146807908"/>
            <w:r w:rsidRPr="00203E4E">
              <w:rPr>
                <w:b/>
              </w:rPr>
              <w:t>Наличие обременений:</w:t>
            </w:r>
            <w:r w:rsidRPr="00203E4E">
              <w:t xml:space="preserve"> не зарегистрировано. </w:t>
            </w:r>
          </w:p>
          <w:bookmarkEnd w:id="0"/>
          <w:bookmarkEnd w:id="1"/>
          <w:bookmarkEnd w:id="2"/>
          <w:p w14:paraId="59C08C32" w14:textId="77777777" w:rsidR="00D349BE" w:rsidRPr="00203E4E" w:rsidRDefault="00D349BE" w:rsidP="00D349BE">
            <w:pPr>
              <w:pStyle w:val="a5"/>
              <w:snapToGrid w:val="0"/>
              <w:ind w:left="0" w:right="-57"/>
              <w:jc w:val="both"/>
            </w:pPr>
            <w:r w:rsidRPr="00203E4E">
              <w:rPr>
                <w:b/>
                <w:bCs/>
              </w:rPr>
              <w:t xml:space="preserve">Особые условия: </w:t>
            </w:r>
            <w:r w:rsidRPr="00203E4E">
              <w:t>В настоящий момент по объекту планируется проведение работ по обособлению,</w:t>
            </w:r>
            <w:r>
              <w:t xml:space="preserve"> </w:t>
            </w:r>
            <w:r w:rsidRPr="00203E4E">
              <w:t>поэтому договор аренды подписывается с отлагательными условиями по передачи Объекта.</w:t>
            </w:r>
            <w:r>
              <w:t xml:space="preserve"> </w:t>
            </w:r>
            <w:r w:rsidRPr="00203E4E">
              <w:t>Арендодатель обязуется в течении 150 (Сто пятьдесят) календарных дней с момента</w:t>
            </w:r>
            <w:r>
              <w:t xml:space="preserve"> </w:t>
            </w:r>
            <w:r w:rsidRPr="00203E4E">
              <w:t xml:space="preserve">подписания договора аренды передать Объект по Акту приема-передачи. </w:t>
            </w:r>
          </w:p>
          <w:p w14:paraId="4ACF5319" w14:textId="244721D6" w:rsidR="00D349BE" w:rsidRPr="00203E4E" w:rsidRDefault="00D349BE" w:rsidP="00D349BE">
            <w:pPr>
              <w:pStyle w:val="a5"/>
              <w:snapToGrid w:val="0"/>
              <w:ind w:left="0" w:right="-57" w:firstLine="708"/>
              <w:jc w:val="both"/>
              <w:rPr>
                <w:bCs/>
                <w:spacing w:val="-2"/>
              </w:rPr>
            </w:pPr>
            <w:r w:rsidRPr="00203E4E">
              <w:rPr>
                <w:bCs/>
                <w:spacing w:val="-2"/>
              </w:rPr>
              <w:t>Покупатель уведомлен о том, что при использовании при аренде Объекта имеются ограничения по видам деятельности, возможным к открытию и ведению на данном Объекте, понимает, что реализация Объекта осуществляется с установленными настоящим пунктом ограничениями по видам использования Объекта, согласен с ними и обязуется их соблюдать на протяжении всего срока владения Объектом, а при дальнейшем распоряжении Объектом (как временном, так и постоянном, в том числе, при выбытии Объекта) обязуется обеспечить включение аналогичных оговорок по ограничению видов деятельности при использовании Объекта в соответствующие</w:t>
            </w:r>
            <w:r w:rsidR="00F5485E">
              <w:rPr>
                <w:bCs/>
                <w:spacing w:val="-2"/>
              </w:rPr>
              <w:t xml:space="preserve"> </w:t>
            </w:r>
            <w:r w:rsidRPr="00203E4E">
              <w:rPr>
                <w:bCs/>
                <w:spacing w:val="-2"/>
              </w:rPr>
              <w:t>договоры/соглашения/иные оформляемые документы.</w:t>
            </w:r>
          </w:p>
          <w:p w14:paraId="0EB3C65E" w14:textId="77777777" w:rsidR="00D349BE" w:rsidRPr="00203E4E" w:rsidRDefault="00D349BE" w:rsidP="00D349BE">
            <w:pPr>
              <w:pStyle w:val="a5"/>
              <w:snapToGrid w:val="0"/>
              <w:ind w:left="0" w:right="-57" w:firstLine="708"/>
              <w:jc w:val="both"/>
              <w:rPr>
                <w:bCs/>
                <w:spacing w:val="-2"/>
              </w:rPr>
            </w:pPr>
            <w:r w:rsidRPr="00203E4E">
              <w:rPr>
                <w:bCs/>
                <w:spacing w:val="-2"/>
              </w:rPr>
              <w:lastRenderedPageBreak/>
              <w:t>Недопустимыми для ведения на Объекте являются такие виды деятельности как: организация сауны, ночных клубов и иных увеселительных заведений, равно как и деятельность, непосредственно связанная с реализацией алкогольной, табачной продукции, а также функционирование микрофинансовых организаций, букмекерских контор.</w:t>
            </w:r>
          </w:p>
          <w:p w14:paraId="21CDC749" w14:textId="77777777" w:rsidR="00D349BE" w:rsidRPr="00203E4E" w:rsidRDefault="00D349BE" w:rsidP="00D349BE">
            <w:pPr>
              <w:pStyle w:val="a5"/>
              <w:snapToGrid w:val="0"/>
              <w:ind w:left="0" w:right="-57" w:firstLine="708"/>
              <w:jc w:val="both"/>
              <w:rPr>
                <w:bCs/>
                <w:spacing w:val="-2"/>
              </w:rPr>
            </w:pPr>
            <w:r w:rsidRPr="00203E4E">
              <w:rPr>
                <w:bCs/>
                <w:spacing w:val="-2"/>
              </w:rPr>
              <w:t>Реализуемый Объект предполагает возможность использования под такие виды деятельности как: медицинская; образовательная; коммунально-бытовая; творческая; спортивная; административно-управленческая; торговая, за исключением вышеуказанных оговорок по видам реализуемой продукции. В помещениях, допустимо обустроить: офис; магазин (кроме реализации алкоголя, табака, интим-магазины и подобные); клинику; тренажерный зал; место общественного питания; мастерскую и др.</w:t>
            </w:r>
          </w:p>
          <w:p w14:paraId="6E630BC4" w14:textId="77777777" w:rsidR="00D349BE" w:rsidRPr="00203E4E" w:rsidRDefault="00D349BE" w:rsidP="00D349BE">
            <w:pPr>
              <w:pStyle w:val="a5"/>
              <w:snapToGrid w:val="0"/>
              <w:ind w:left="0" w:right="-57" w:firstLine="708"/>
              <w:jc w:val="both"/>
              <w:rPr>
                <w:b/>
                <w:bCs/>
                <w:spacing w:val="-2"/>
              </w:rPr>
            </w:pPr>
            <w:r w:rsidRPr="00203E4E">
              <w:rPr>
                <w:bCs/>
                <w:spacing w:val="-2"/>
              </w:rPr>
              <w:t>Банк вправе отказать в заключении договора аренды с Победителем/Единственным участником торгов при осуществлении вышеперечисленной деятельности, либо расторгнуть договор аренды, если такая деятельность будет осуществляться в дальнейшем.</w:t>
            </w:r>
            <w:r w:rsidRPr="00203E4E">
              <w:rPr>
                <w:b/>
                <w:bCs/>
                <w:spacing w:val="-2"/>
              </w:rPr>
              <w:t xml:space="preserve"> </w:t>
            </w:r>
          </w:p>
          <w:p w14:paraId="68C74CA5" w14:textId="77777777" w:rsidR="00D349BE" w:rsidRPr="00203E4E" w:rsidRDefault="00D349BE" w:rsidP="00D349BE">
            <w:pPr>
              <w:pStyle w:val="a5"/>
              <w:snapToGrid w:val="0"/>
              <w:ind w:left="0" w:right="-57"/>
              <w:jc w:val="both"/>
              <w:rPr>
                <w:iCs/>
              </w:rPr>
            </w:pPr>
            <w:r w:rsidRPr="00203E4E">
              <w:rPr>
                <w:b/>
              </w:rPr>
              <w:t>Начальная цена (величина постоянной составляющей месячной арендной платы):</w:t>
            </w:r>
            <w:r w:rsidRPr="00203E4E">
              <w:t xml:space="preserve"> </w:t>
            </w:r>
            <w:bookmarkStart w:id="3" w:name="_Hlk139623368"/>
            <w:r w:rsidRPr="00203E4E">
              <w:rPr>
                <w:rStyle w:val="fontstyle01"/>
              </w:rPr>
              <w:t>26 606,40 (Двадцать шесть тысяч шестьсот шесть) рублей 40 копеек</w:t>
            </w:r>
            <w:r w:rsidRPr="00203E4E">
              <w:t>,</w:t>
            </w:r>
            <w:bookmarkEnd w:id="3"/>
            <w:r w:rsidRPr="00203E4E">
              <w:t xml:space="preserve"> в том числе НДС </w:t>
            </w:r>
            <w:r w:rsidRPr="00203E4E">
              <w:rPr>
                <w:iCs/>
              </w:rPr>
              <w:t>20%</w:t>
            </w:r>
            <w:r w:rsidRPr="00203E4E">
              <w:rPr>
                <w:rStyle w:val="af6"/>
                <w:iCs/>
              </w:rPr>
              <w:footnoteReference w:id="1"/>
            </w:r>
            <w:r w:rsidRPr="00203E4E">
              <w:rPr>
                <w:iCs/>
              </w:rPr>
              <w:t>;</w:t>
            </w:r>
          </w:p>
          <w:p w14:paraId="40D44C41" w14:textId="77777777" w:rsidR="00D349BE" w:rsidRPr="00203E4E" w:rsidRDefault="00D349BE" w:rsidP="00D349BE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</w:rPr>
            </w:pPr>
            <w:r w:rsidRPr="00203E4E">
              <w:rPr>
                <w:b/>
              </w:rPr>
              <w:t>Сумма задатка:</w:t>
            </w:r>
            <w:r w:rsidRPr="00203E4E">
              <w:t xml:space="preserve"> </w:t>
            </w:r>
            <w:r w:rsidRPr="00203E4E">
              <w:rPr>
                <w:rStyle w:val="fontstyle01"/>
              </w:rPr>
              <w:t>26 606,40 (Двадцать шесть тысяч шестьсот шесть) рублей 40 копеек.</w:t>
            </w:r>
          </w:p>
          <w:p w14:paraId="2B7E2C30" w14:textId="77777777" w:rsidR="00D349BE" w:rsidRPr="00203E4E" w:rsidRDefault="00D349BE" w:rsidP="00D349BE">
            <w:pPr>
              <w:tabs>
                <w:tab w:val="left" w:pos="540"/>
                <w:tab w:val="left" w:pos="720"/>
              </w:tabs>
              <w:jc w:val="both"/>
              <w:rPr>
                <w:rStyle w:val="fontstyle01"/>
              </w:rPr>
            </w:pPr>
            <w:r w:rsidRPr="00203E4E">
              <w:rPr>
                <w:b/>
              </w:rPr>
              <w:t>Шаг аукциона на повышение:</w:t>
            </w:r>
            <w:r w:rsidRPr="00203E4E">
              <w:t xml:space="preserve"> </w:t>
            </w:r>
            <w:r w:rsidRPr="00203E4E">
              <w:rPr>
                <w:rStyle w:val="fontstyle01"/>
              </w:rPr>
              <w:t>1 330,32 (Одна тысяча триста тридцать) рублей 32 копейки.</w:t>
            </w:r>
          </w:p>
          <w:p w14:paraId="4FFF2537" w14:textId="2A36FA73" w:rsidR="00C943C0" w:rsidRPr="00F562CD" w:rsidRDefault="00C943C0" w:rsidP="005972D0"/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59DA9BC9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F5485E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F5485E">
      <w:rPr>
        <w:noProof/>
        <w:lang w:val="en-US"/>
      </w:rPr>
      <w:instrText>2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F5485E">
      <w:rPr>
        <w:noProof/>
        <w:lang w:val="en-US"/>
      </w:rPr>
      <w:instrText>2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F5485E">
      <w:rPr>
        <w:noProof/>
        <w:lang w:val="en-US"/>
      </w:rPr>
      <w:instrText>2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F5485E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  <w:footnote w:id="1">
    <w:p w14:paraId="2271E75C" w14:textId="77777777" w:rsidR="00D349BE" w:rsidRDefault="00D349BE" w:rsidP="00D349BE">
      <w:pPr>
        <w:pStyle w:val="af4"/>
        <w:spacing w:after="0" w:line="240" w:lineRule="auto"/>
      </w:pPr>
      <w:r>
        <w:rPr>
          <w:rStyle w:val="af6"/>
        </w:rPr>
        <w:footnoteRef/>
      </w:r>
      <w:r>
        <w:t xml:space="preserve"> </w:t>
      </w:r>
      <w:r w:rsidRPr="00DD0496">
        <w:t xml:space="preserve">Арендная плата </w:t>
      </w:r>
      <w:r w:rsidRPr="00F24579">
        <w:t>без учета коммунальных и эксплуатационных платежей</w:t>
      </w:r>
      <w:r w:rsidRPr="00DD049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B5DF9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12013"/>
    <w:rsid w:val="00D21A45"/>
    <w:rsid w:val="00D31DE3"/>
    <w:rsid w:val="00D340BC"/>
    <w:rsid w:val="00D349BE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5485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D349B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D349BE"/>
    <w:rPr>
      <w:rFonts w:ascii="Calibri" w:eastAsia="Calibri" w:hAnsi="Calibri"/>
      <w:lang w:eastAsia="en-US"/>
    </w:rPr>
  </w:style>
  <w:style w:type="character" w:styleId="af6">
    <w:name w:val="footnote reference"/>
    <w:uiPriority w:val="99"/>
    <w:semiHidden/>
    <w:unhideWhenUsed/>
    <w:rsid w:val="00D349BE"/>
    <w:rPr>
      <w:vertAlign w:val="superscript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rsid w:val="00D34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430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3568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7</cp:revision>
  <cp:lastPrinted>2011-06-20T12:22:00Z</cp:lastPrinted>
  <dcterms:created xsi:type="dcterms:W3CDTF">2022-10-20T07:46:00Z</dcterms:created>
  <dcterms:modified xsi:type="dcterms:W3CDTF">2025-08-19T11:51:00Z</dcterms:modified>
</cp:coreProperties>
</file>