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Иркутская область, г. Иркутск, пр-кт.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31B8AF80" w:rsidR="00B81009" w:rsidRPr="00D01189" w:rsidRDefault="005148BB" w:rsidP="00362841">
      <w:pPr>
        <w:jc w:val="center"/>
        <w:outlineLvl w:val="0"/>
        <w:rPr>
          <w:bCs/>
        </w:rPr>
      </w:pPr>
      <w:r>
        <w:rPr>
          <w:b/>
          <w:bCs/>
          <w:sz w:val="28"/>
          <w:szCs w:val="28"/>
        </w:rPr>
        <w:t>22.09</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2F5A75D6"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5148BB">
        <w:rPr>
          <w:b/>
          <w:bCs/>
        </w:rPr>
        <w:t>1</w:t>
      </w:r>
      <w:r w:rsidR="00025D33">
        <w:rPr>
          <w:b/>
          <w:bCs/>
        </w:rPr>
        <w:t>9</w:t>
      </w:r>
      <w:r w:rsidR="005148BB">
        <w:rPr>
          <w:b/>
          <w:bCs/>
        </w:rPr>
        <w:t>.08</w:t>
      </w:r>
      <w:r w:rsidR="00F71576">
        <w:rPr>
          <w:b/>
          <w:bCs/>
        </w:rPr>
        <w:t>.2025</w:t>
      </w:r>
      <w:r w:rsidRPr="0005653B">
        <w:rPr>
          <w:b/>
          <w:bCs/>
        </w:rPr>
        <w:t xml:space="preserve"> г. по </w:t>
      </w:r>
      <w:r w:rsidR="005148BB">
        <w:rPr>
          <w:b/>
          <w:bCs/>
        </w:rPr>
        <w:t>18.09</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F3108E2" w:rsidR="00362841" w:rsidRPr="0005653B" w:rsidRDefault="00362841" w:rsidP="00362841">
      <w:pPr>
        <w:jc w:val="center"/>
        <w:outlineLvl w:val="0"/>
        <w:rPr>
          <w:bCs/>
        </w:rPr>
      </w:pPr>
      <w:r w:rsidRPr="0005653B">
        <w:rPr>
          <w:b/>
          <w:bCs/>
        </w:rPr>
        <w:t xml:space="preserve">не позднее </w:t>
      </w:r>
      <w:r w:rsidR="005148BB">
        <w:rPr>
          <w:b/>
          <w:bCs/>
        </w:rPr>
        <w:t>18.09</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D9B5F70" w:rsidR="00573FA0" w:rsidRDefault="00362841" w:rsidP="00EB2441">
      <w:pPr>
        <w:tabs>
          <w:tab w:val="left" w:pos="142"/>
        </w:tabs>
        <w:jc w:val="center"/>
        <w:outlineLvl w:val="0"/>
        <w:rPr>
          <w:bCs/>
        </w:rPr>
      </w:pPr>
      <w:r w:rsidRPr="0005653B">
        <w:rPr>
          <w:b/>
          <w:bCs/>
        </w:rPr>
        <w:t xml:space="preserve">Организатором торгов </w:t>
      </w:r>
      <w:r w:rsidR="005148BB">
        <w:rPr>
          <w:b/>
          <w:bCs/>
        </w:rPr>
        <w:t>19.09</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Иркутская область, г. Иркутск, пр-кт.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79459381"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F85942">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144CE406" w:rsidR="00851AB3" w:rsidRDefault="005148BB" w:rsidP="00C52E97">
      <w:pPr>
        <w:ind w:firstLine="709"/>
        <w:jc w:val="both"/>
        <w:rPr>
          <w:bCs/>
        </w:rPr>
      </w:pPr>
      <w:r w:rsidRPr="005148BB">
        <w:rPr>
          <w:b/>
        </w:rPr>
        <w:t>Начальная цена продажи</w:t>
      </w:r>
      <w:r w:rsidRPr="005148BB">
        <w:rPr>
          <w:bCs/>
        </w:rPr>
        <w:t xml:space="preserve"> Объекта устанавливается в размере</w:t>
      </w:r>
      <w:r w:rsidR="00402A0B" w:rsidRPr="00402A0B">
        <w:rPr>
          <w:bCs/>
        </w:rPr>
        <w:t xml:space="preserve"> </w:t>
      </w:r>
      <w:r w:rsidR="003C3960" w:rsidRPr="003C3960">
        <w:rPr>
          <w:bCs/>
        </w:rPr>
        <w:t>21 053 387,</w:t>
      </w:r>
      <w:r w:rsidR="001271C9">
        <w:rPr>
          <w:bCs/>
        </w:rPr>
        <w:t>81</w:t>
      </w:r>
      <w:r w:rsidR="003C3960" w:rsidRPr="003C3960">
        <w:rPr>
          <w:bCs/>
        </w:rPr>
        <w:t xml:space="preserve"> (Двадцать один миллион пятьдесят три тысячи триста восемьдесят семь) рублей </w:t>
      </w:r>
      <w:r w:rsidR="001271C9">
        <w:rPr>
          <w:bCs/>
        </w:rPr>
        <w:t>81</w:t>
      </w:r>
      <w:r w:rsidR="003C3960" w:rsidRPr="003C3960">
        <w:rPr>
          <w:bCs/>
        </w:rPr>
        <w:t xml:space="preserve"> копе</w:t>
      </w:r>
      <w:r w:rsidR="001271C9">
        <w:rPr>
          <w:bCs/>
        </w:rPr>
        <w:t>й</w:t>
      </w:r>
      <w:r w:rsidR="003C3960" w:rsidRPr="003C3960">
        <w:rPr>
          <w:bCs/>
        </w:rPr>
        <w:t>к</w:t>
      </w:r>
      <w:r w:rsidR="001271C9">
        <w:rPr>
          <w:bCs/>
        </w:rPr>
        <w:t>а</w:t>
      </w:r>
      <w:r w:rsidR="003C3960" w:rsidRPr="003C3960">
        <w:rPr>
          <w:bCs/>
        </w:rPr>
        <w:t xml:space="preserve"> в том числе НДС 20% в размере 3 508 897,9</w:t>
      </w:r>
      <w:r w:rsidR="001271C9">
        <w:rPr>
          <w:bCs/>
        </w:rPr>
        <w:t>7</w:t>
      </w:r>
      <w:r w:rsidR="003C3960" w:rsidRPr="003C3960">
        <w:rPr>
          <w:bCs/>
        </w:rPr>
        <w:t xml:space="preserve"> (Три миллиона пятьсот восемь тысяч восемьсот девяносто семь) рублей 9</w:t>
      </w:r>
      <w:r w:rsidR="001271C9">
        <w:rPr>
          <w:bCs/>
        </w:rPr>
        <w:t>7</w:t>
      </w:r>
      <w:r w:rsidR="003C3960" w:rsidRPr="003C3960">
        <w:rPr>
          <w:bCs/>
        </w:rPr>
        <w:t xml:space="preserve"> копеек</w:t>
      </w:r>
      <w:r w:rsidR="00C52E97">
        <w:rPr>
          <w:bCs/>
        </w:rPr>
        <w:t>.</w:t>
      </w:r>
    </w:p>
    <w:p w14:paraId="4991021A" w14:textId="75AF0EC1" w:rsidR="005148BB" w:rsidRDefault="005148BB" w:rsidP="00C52E97">
      <w:pPr>
        <w:ind w:firstLine="709"/>
        <w:jc w:val="both"/>
        <w:rPr>
          <w:bCs/>
        </w:rPr>
      </w:pPr>
      <w:r w:rsidRPr="00A82C30">
        <w:rPr>
          <w:b/>
          <w:bCs/>
        </w:rPr>
        <w:lastRenderedPageBreak/>
        <w:t>Минимальная цена (цена отсечения):</w:t>
      </w:r>
      <w:r>
        <w:t xml:space="preserve"> </w:t>
      </w:r>
      <w:r>
        <w:t xml:space="preserve">в размере </w:t>
      </w:r>
      <w:r>
        <w:t>не менее</w:t>
      </w:r>
      <w:r>
        <w:t xml:space="preserve"> </w:t>
      </w:r>
      <w:r w:rsidRPr="005148BB">
        <w:t>15 790</w:t>
      </w:r>
      <w:r w:rsidR="001271C9">
        <w:t> </w:t>
      </w:r>
      <w:r w:rsidRPr="005148BB">
        <w:t>040,</w:t>
      </w:r>
      <w:r w:rsidR="001271C9">
        <w:t>81</w:t>
      </w:r>
      <w:r w:rsidRPr="005148BB">
        <w:t xml:space="preserve"> (Пятнадцать миллионов семьсот девяносто тысяч сорок) рублей </w:t>
      </w:r>
      <w:r w:rsidR="001271C9">
        <w:t>81</w:t>
      </w:r>
      <w:r w:rsidRPr="005148BB">
        <w:t xml:space="preserve"> копе</w:t>
      </w:r>
      <w:r w:rsidR="001271C9">
        <w:t>ек</w:t>
      </w:r>
      <w:r w:rsidRPr="005148BB">
        <w:t xml:space="preserve"> в том числе НДС 20% в размере 2 631 673,47 (Два миллиона шестьсот тридцать одна тысяча шестьсот семьдесят три) рубля 47 копеек</w:t>
      </w:r>
    </w:p>
    <w:p w14:paraId="08C7AAED" w14:textId="77777777" w:rsidR="00C52E97" w:rsidRPr="00AD3847" w:rsidRDefault="00C52E97" w:rsidP="00C52E97">
      <w:pPr>
        <w:ind w:firstLine="709"/>
        <w:jc w:val="both"/>
        <w:rPr>
          <w:b/>
          <w:bCs/>
        </w:rPr>
      </w:pPr>
    </w:p>
    <w:p w14:paraId="42D968E4" w14:textId="726AD220"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3C3960" w:rsidRPr="003C3960">
        <w:rPr>
          <w:rFonts w:ascii="Times New Roman" w:hAnsi="Times New Roman"/>
          <w:bCs/>
          <w:sz w:val="24"/>
          <w:szCs w:val="24"/>
          <w:lang w:eastAsia="ru-RU"/>
        </w:rPr>
        <w:t>2 105 339,00 (Два миллиона сто пять тысяч триста тридцать девять)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1189AE41" w14:textId="2AF295B3" w:rsidR="005148BB" w:rsidRPr="00BD63E5" w:rsidRDefault="005148BB" w:rsidP="00BD63E5">
      <w:pPr>
        <w:ind w:right="-57"/>
        <w:contextualSpacing/>
        <w:jc w:val="both"/>
        <w:rPr>
          <w:bCs/>
        </w:rPr>
      </w:pPr>
      <w:r>
        <w:rPr>
          <w:b/>
        </w:rPr>
        <w:t xml:space="preserve">Шаг на понижение: </w:t>
      </w:r>
      <w:r w:rsidR="00BD63E5" w:rsidRPr="00BD63E5">
        <w:rPr>
          <w:bCs/>
        </w:rPr>
        <w:t>526 334,</w:t>
      </w:r>
      <w:r w:rsidR="001271C9">
        <w:rPr>
          <w:bCs/>
        </w:rPr>
        <w:t>70</w:t>
      </w:r>
      <w:r w:rsidR="00BD63E5" w:rsidRPr="00BD63E5">
        <w:rPr>
          <w:bCs/>
        </w:rPr>
        <w:t xml:space="preserve"> (Пятьсот двадцать</w:t>
      </w:r>
      <w:r w:rsidR="00BD63E5">
        <w:rPr>
          <w:bCs/>
        </w:rPr>
        <w:t xml:space="preserve"> </w:t>
      </w:r>
      <w:r w:rsidR="00BD63E5" w:rsidRPr="00BD63E5">
        <w:rPr>
          <w:bCs/>
        </w:rPr>
        <w:t xml:space="preserve">шесть тысяч триста тридцать четыре) рубля </w:t>
      </w:r>
      <w:r w:rsidR="001271C9">
        <w:rPr>
          <w:bCs/>
        </w:rPr>
        <w:t>70</w:t>
      </w:r>
      <w:r w:rsidR="00BD63E5" w:rsidRPr="00BD63E5">
        <w:rPr>
          <w:bCs/>
        </w:rPr>
        <w:t xml:space="preserve"> копеек</w:t>
      </w:r>
    </w:p>
    <w:p w14:paraId="6343107C" w14:textId="3BAC320A" w:rsidR="003D309D" w:rsidRDefault="0036512E" w:rsidP="00BD63E5">
      <w:pPr>
        <w:ind w:right="-57"/>
        <w:contextualSpacing/>
        <w:jc w:val="both"/>
      </w:pPr>
      <w:r w:rsidRPr="00FA5F54">
        <w:rPr>
          <w:b/>
        </w:rPr>
        <w:t>Шаг</w:t>
      </w:r>
      <w:r w:rsidR="007C5D38" w:rsidRPr="00FA5F54">
        <w:rPr>
          <w:b/>
        </w:rPr>
        <w:t xml:space="preserve"> на повышение</w:t>
      </w:r>
      <w:r w:rsidRPr="00FA5F54">
        <w:rPr>
          <w:b/>
        </w:rPr>
        <w:t xml:space="preserve">: </w:t>
      </w:r>
      <w:r w:rsidR="00BD63E5">
        <w:t>100 000,00 (сто тысяч) рублей</w:t>
      </w:r>
      <w:r w:rsidR="00BD63E5">
        <w:t xml:space="preserve"> </w:t>
      </w:r>
      <w:r w:rsidR="00BD63E5">
        <w:t>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FC3573">
        <w:lastRenderedPageBreak/>
        <w:t>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lastRenderedPageBreak/>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6BDB682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0A2B3E4A" w14:textId="4693B8F2" w:rsidR="00246E37" w:rsidRPr="00246E37" w:rsidRDefault="00246E37" w:rsidP="00246E37">
      <w:pPr>
        <w:autoSpaceDE w:val="0"/>
        <w:autoSpaceDN w:val="0"/>
        <w:adjustRightInd w:val="0"/>
        <w:ind w:firstLine="709"/>
        <w:jc w:val="both"/>
        <w:rPr>
          <w:b/>
          <w:bCs/>
          <w:color w:val="000000"/>
        </w:rPr>
      </w:pPr>
      <w:r w:rsidRPr="00246E37">
        <w:rPr>
          <w:b/>
          <w:bCs/>
          <w:color w:val="000000"/>
        </w:rPr>
        <w:lastRenderedPageBreak/>
        <w:t>Обязательным условием для заключения договора купли-продажи Объекта с победителем/единственным участником будет являться</w:t>
      </w:r>
      <w:r w:rsidR="006A17CC">
        <w:rPr>
          <w:b/>
          <w:bCs/>
          <w:color w:val="000000"/>
        </w:rPr>
        <w:t xml:space="preserve"> </w:t>
      </w:r>
      <w:r w:rsidRPr="00246E37">
        <w:rPr>
          <w:b/>
          <w:bCs/>
          <w:color w:val="000000"/>
        </w:rPr>
        <w:t>заключение договоров возмездного оказания услуг на общую сумму в размере 2 000 000, 00 (Два миллиона) рублей 00 копеек, включая НДС 20 % в размере 333 333,33 (Триста тридцать три тысячи триста тридцать три) рубля 00 копеек в день подписания договора купли-продажи на выбор из следующего списка:</w:t>
      </w:r>
    </w:p>
    <w:p w14:paraId="38015322"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Комплексная эксплуатация недвижимости;</w:t>
      </w:r>
    </w:p>
    <w:p w14:paraId="25DF0650"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Кибербезопасность;</w:t>
      </w:r>
    </w:p>
    <w:p w14:paraId="7801DF0F"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Платформа «СберТранспорт»;</w:t>
      </w:r>
    </w:p>
    <w:p w14:paraId="7AD744E5"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ИТ – услуга;</w:t>
      </w:r>
    </w:p>
    <w:p w14:paraId="2F7B0E89"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Автоматизация и аутсорсинг ИТ-сервисов;</w:t>
      </w:r>
    </w:p>
    <w:p w14:paraId="1EE975AA"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АС Амелия 2.0;</w:t>
      </w:r>
    </w:p>
    <w:p w14:paraId="7D53B0B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Комплексное обеспечение безопасности от угроз БПЛА;</w:t>
      </w:r>
    </w:p>
    <w:p w14:paraId="0EAEE13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Цифровой инструмент контроля и управления объектами недвижимости «Андромеда»;</w:t>
      </w:r>
    </w:p>
    <w:p w14:paraId="66024C73"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«Зеленые сертификаты»;</w:t>
      </w:r>
    </w:p>
    <w:p w14:paraId="71618380" w14:textId="013BB957" w:rsidR="00B443F5" w:rsidRDefault="00246E37" w:rsidP="00246E37">
      <w:pPr>
        <w:autoSpaceDE w:val="0"/>
        <w:autoSpaceDN w:val="0"/>
        <w:adjustRightInd w:val="0"/>
        <w:ind w:firstLine="709"/>
        <w:jc w:val="both"/>
        <w:rPr>
          <w:b/>
          <w:bCs/>
          <w:color w:val="000000"/>
        </w:rPr>
      </w:pPr>
      <w:r w:rsidRPr="00246E37">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3FF7" w14:textId="77777777" w:rsidR="003427C5" w:rsidRDefault="003427C5" w:rsidP="008C3E4E">
      <w:r>
        <w:separator/>
      </w:r>
    </w:p>
  </w:endnote>
  <w:endnote w:type="continuationSeparator" w:id="0">
    <w:p w14:paraId="78BE8A81" w14:textId="77777777" w:rsidR="003427C5" w:rsidRDefault="003427C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A636" w14:textId="77777777" w:rsidR="003427C5" w:rsidRDefault="003427C5" w:rsidP="008C3E4E">
      <w:r>
        <w:separator/>
      </w:r>
    </w:p>
  </w:footnote>
  <w:footnote w:type="continuationSeparator" w:id="0">
    <w:p w14:paraId="0D4CD37B" w14:textId="77777777" w:rsidR="003427C5" w:rsidRDefault="003427C5"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5D33"/>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271C9"/>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7C5"/>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8BB"/>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C0E"/>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3E5"/>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942"/>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4671</Words>
  <Characters>26629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31238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3</cp:revision>
  <dcterms:created xsi:type="dcterms:W3CDTF">2025-08-19T08:19:00Z</dcterms:created>
  <dcterms:modified xsi:type="dcterms:W3CDTF">2025-08-19T08:47:00Z</dcterms:modified>
</cp:coreProperties>
</file>