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DD70" w14:textId="77777777" w:rsidR="00035AC0" w:rsidRDefault="008F1D79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609FC922" w14:textId="77777777" w:rsidR="00035AC0" w:rsidRDefault="008F1D79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6CF40713" w14:textId="77777777" w:rsidR="00035AC0" w:rsidRDefault="008F1D79">
      <w:pPr>
        <w:spacing w:after="0" w:line="280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14:paraId="68C0490E" w14:textId="77777777" w:rsidR="00035AC0" w:rsidRDefault="008F1D79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33BF8051" w14:textId="77777777" w:rsidR="00035AC0" w:rsidRDefault="008F1D79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12.09.2025 г. с 09:00 </w:t>
      </w:r>
    </w:p>
    <w:p w14:paraId="54AA8249" w14:textId="77777777" w:rsidR="00035AC0" w:rsidRDefault="008F1D79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«Российский аукционный дом» </w:t>
      </w:r>
    </w:p>
    <w:p w14:paraId="2C5502B6" w14:textId="77777777" w:rsidR="00035AC0" w:rsidRDefault="008F1D79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5455D1F0" w14:textId="77777777" w:rsidR="00035AC0" w:rsidRDefault="008F1D79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Организатор торгов – акционерное общество «РАД-Холдинг» (АО «РАД-Холдинг»). </w:t>
      </w:r>
    </w:p>
    <w:p w14:paraId="7B63CB83" w14:textId="77777777" w:rsidR="00035AC0" w:rsidRDefault="008F1D79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Прием заявок осуществляется с 08.08.2025 г. 18:00 по 09.09.2025 г. до 18:00 </w:t>
      </w:r>
    </w:p>
    <w:p w14:paraId="3E834CF0" w14:textId="77777777" w:rsidR="00035AC0" w:rsidRDefault="008F1D79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4E2B5FD7" w14:textId="77777777" w:rsidR="00035AC0" w:rsidRDefault="008F1D79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71088DF9" w14:textId="77777777" w:rsidR="00035AC0" w:rsidRDefault="008F1D79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09.09.2025г. 18:00. </w:t>
      </w:r>
    </w:p>
    <w:p w14:paraId="703B859C" w14:textId="77777777" w:rsidR="00035AC0" w:rsidRDefault="008F1D79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11.09.2025 г. </w:t>
      </w:r>
    </w:p>
    <w:p w14:paraId="3681B120" w14:textId="77777777" w:rsidR="00035AC0" w:rsidRDefault="008F1D79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2874F16B" w14:textId="77777777" w:rsidR="00035AC0" w:rsidRDefault="008F1D79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295E52B7" w14:textId="77777777" w:rsidR="00035AC0" w:rsidRDefault="008F1D79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2297FCD7" w14:textId="77777777" w:rsidR="00035AC0" w:rsidRDefault="008F1D79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3BCB8D16" w14:textId="77777777" w:rsidR="00035AC0" w:rsidRDefault="008F1D79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0AF05BB0" w14:textId="77777777" w:rsidR="00035AC0" w:rsidRDefault="008F1D79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41FA287C" w14:textId="77777777" w:rsidR="00035AC0" w:rsidRDefault="008F1D79">
      <w:pPr>
        <w:ind w:left="0" w:right="60" w:firstLine="0"/>
        <w:rPr>
          <w:b/>
          <w:szCs w:val="24"/>
        </w:rPr>
      </w:pPr>
      <w:r>
        <w:rPr>
          <w:b/>
          <w:szCs w:val="24"/>
        </w:rPr>
        <w:t xml:space="preserve">Объект продажи (Объект, лот): </w:t>
      </w:r>
    </w:p>
    <w:p w14:paraId="34EFE3B5" w14:textId="77777777" w:rsidR="00035AC0" w:rsidRDefault="008F1D79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Единым лотом (единый лот):</w:t>
      </w:r>
      <w:r>
        <w:rPr>
          <w:color w:val="auto"/>
          <w:szCs w:val="24"/>
        </w:rPr>
        <w:tab/>
      </w:r>
    </w:p>
    <w:p w14:paraId="71FF553E" w14:textId="77777777" w:rsidR="00035AC0" w:rsidRDefault="008F1D79">
      <w:pPr>
        <w:widowControl w:val="0"/>
        <w:spacing w:after="0" w:line="240" w:lineRule="auto"/>
        <w:ind w:left="0" w:right="0" w:firstLine="708"/>
        <w:rPr>
          <w:szCs w:val="24"/>
          <w:lang w:eastAsia="zh-CN" w:bidi="hi-IN"/>
        </w:rPr>
      </w:pPr>
      <w:r>
        <w:rPr>
          <w:b/>
          <w:bCs/>
          <w:szCs w:val="24"/>
          <w:lang w:eastAsia="zh-CN" w:bidi="hi-IN"/>
        </w:rPr>
        <w:t xml:space="preserve">Земельный участок </w:t>
      </w:r>
      <w:r>
        <w:rPr>
          <w:szCs w:val="24"/>
          <w:lang w:eastAsia="zh-CN" w:bidi="hi-IN"/>
        </w:rPr>
        <w:t xml:space="preserve">с кадастровым номером 55:36:040101:3122, площадью 1184 +/- 12 кв. м., категория земель: земли населенных пунктов, виды разрешенного использования: гостиницы, местоположение: Местоположение установлено относительно ориентира, расположенного в границах участка. Ориентир нежилое здание. Почтовый адрес ориентира: Омская область, г Омск, Центральный АО, </w:t>
      </w:r>
      <w:proofErr w:type="spellStart"/>
      <w:r>
        <w:rPr>
          <w:szCs w:val="24"/>
          <w:lang w:eastAsia="zh-CN" w:bidi="hi-IN"/>
        </w:rPr>
        <w:t>ул</w:t>
      </w:r>
      <w:proofErr w:type="spellEnd"/>
      <w:r>
        <w:rPr>
          <w:szCs w:val="24"/>
          <w:lang w:eastAsia="zh-CN" w:bidi="hi-IN"/>
        </w:rPr>
        <w:t xml:space="preserve"> Фрунзе, д 1.</w:t>
      </w:r>
    </w:p>
    <w:p w14:paraId="6B761818" w14:textId="77777777" w:rsidR="00035AC0" w:rsidRDefault="008F1D79">
      <w:pPr>
        <w:widowControl w:val="0"/>
        <w:spacing w:after="0" w:line="240" w:lineRule="auto"/>
        <w:ind w:left="0" w:right="0" w:firstLine="708"/>
        <w:rPr>
          <w:szCs w:val="24"/>
          <w:lang w:eastAsia="zh-CN" w:bidi="hi-IN"/>
        </w:rPr>
      </w:pPr>
      <w:r>
        <w:rPr>
          <w:szCs w:val="24"/>
          <w:lang w:eastAsia="zh-CN" w:bidi="hi-IN"/>
        </w:rPr>
        <w:t>Обременения (ограничения): согласно выписке от 25.07.2025 не зарегистрированы.</w:t>
      </w:r>
    </w:p>
    <w:p w14:paraId="2C873234" w14:textId="77777777" w:rsidR="00035AC0" w:rsidRDefault="00035AC0">
      <w:pPr>
        <w:widowControl w:val="0"/>
        <w:spacing w:after="0" w:line="240" w:lineRule="auto"/>
        <w:ind w:left="0" w:right="0" w:firstLine="708"/>
        <w:rPr>
          <w:szCs w:val="24"/>
          <w:lang w:eastAsia="zh-CN" w:bidi="hi-IN"/>
        </w:rPr>
      </w:pPr>
    </w:p>
    <w:p w14:paraId="599DB481" w14:textId="77777777" w:rsidR="00035AC0" w:rsidRDefault="008F1D79">
      <w:pPr>
        <w:widowControl w:val="0"/>
        <w:spacing w:after="0" w:line="276" w:lineRule="auto"/>
        <w:ind w:left="0" w:right="0" w:firstLine="360"/>
        <w:rPr>
          <w:szCs w:val="24"/>
          <w:lang w:eastAsia="zh-CN" w:bidi="hi-IN"/>
        </w:rPr>
      </w:pPr>
      <w:r>
        <w:rPr>
          <w:b/>
          <w:bCs/>
          <w:szCs w:val="24"/>
          <w:lang w:eastAsia="zh-CN" w:bidi="hi-IN"/>
        </w:rPr>
        <w:t>Объект незавершенного строительства</w:t>
      </w:r>
      <w:bookmarkStart w:id="0" w:name="_Hlk181179646"/>
      <w:bookmarkEnd w:id="0"/>
      <w:r>
        <w:rPr>
          <w:szCs w:val="24"/>
          <w:lang w:eastAsia="zh-CN" w:bidi="hi-IN"/>
        </w:rPr>
        <w:t>, проектируемое назначение: Многофункциональный торгово-офисный комплекс с гостиничным блоком и подземной парковкой (2-я очередь строительства, II этап, блок А-гостиница), местоположение: Российская Федерация, Омская область</w:t>
      </w:r>
      <w:r>
        <w:rPr>
          <w:rFonts w:eastAsia="NSimSun"/>
          <w:szCs w:val="24"/>
          <w:lang w:eastAsia="zh-CN" w:bidi="hi-IN"/>
        </w:rPr>
        <w:t xml:space="preserve">, г. Омск, ул. Фрунзе, дом №1, корпус №5, </w:t>
      </w:r>
      <w:r>
        <w:rPr>
          <w:rFonts w:eastAsia="SimSun;宋体"/>
          <w:szCs w:val="24"/>
          <w:lang w:eastAsia="hi-IN" w:bidi="hi-IN"/>
        </w:rPr>
        <w:t xml:space="preserve">кадастровый номер 55:36:040101:7965, </w:t>
      </w:r>
      <w:r>
        <w:rPr>
          <w:szCs w:val="24"/>
          <w:lang w:eastAsia="zh-CN" w:bidi="hi-IN"/>
        </w:rPr>
        <w:t xml:space="preserve">площадь застройки 1093,1кв.м., степень готовности- 31%. </w:t>
      </w:r>
      <w:r>
        <w:rPr>
          <w:rFonts w:ascii="Liberation Serif" w:eastAsia="NSimSun" w:hAnsi="Liberation Serif" w:cs="Mangal"/>
          <w:szCs w:val="24"/>
          <w:lang w:eastAsia="zh-CN" w:bidi="hi-IN"/>
        </w:rPr>
        <w:t xml:space="preserve">Право собственности Доверителя </w:t>
      </w:r>
      <w:r>
        <w:rPr>
          <w:szCs w:val="24"/>
          <w:lang w:eastAsia="zh-CN" w:bidi="hi-IN"/>
        </w:rPr>
        <w:t>зарегистрировано 30.07.2019 за № 55:36:040101:7965-55/092/2019-4.</w:t>
      </w:r>
    </w:p>
    <w:p w14:paraId="12229ADF" w14:textId="77777777" w:rsidR="00035AC0" w:rsidRDefault="008F1D79">
      <w:pPr>
        <w:widowControl w:val="0"/>
        <w:spacing w:after="0" w:line="240" w:lineRule="auto"/>
        <w:ind w:left="0" w:right="0" w:firstLine="0"/>
        <w:rPr>
          <w:rFonts w:eastAsia="SimSun;宋体"/>
          <w:szCs w:val="24"/>
          <w:lang w:eastAsia="hi-IN" w:bidi="hi-IN"/>
        </w:rPr>
      </w:pPr>
      <w:r>
        <w:rPr>
          <w:rFonts w:eastAsia="SimSun;宋体"/>
          <w:szCs w:val="24"/>
          <w:lang w:eastAsia="hi-IN" w:bidi="hi-IN"/>
        </w:rPr>
        <w:tab/>
      </w:r>
      <w:bookmarkStart w:id="1" w:name="_Hlk194579556"/>
      <w:r>
        <w:rPr>
          <w:rFonts w:eastAsia="SimSun;宋体"/>
          <w:szCs w:val="24"/>
          <w:lang w:eastAsia="hi-IN" w:bidi="hi-IN"/>
        </w:rPr>
        <w:t>Обременения (ограничения): согласно выписке от 25.07.2025 не зарегистрированы.</w:t>
      </w:r>
      <w:bookmarkEnd w:id="1"/>
    </w:p>
    <w:p w14:paraId="549C26F7" w14:textId="77777777" w:rsidR="00035AC0" w:rsidRDefault="00035AC0">
      <w:pPr>
        <w:spacing w:line="268" w:lineRule="auto"/>
        <w:ind w:left="-15" w:right="60" w:firstLine="375"/>
        <w:rPr>
          <w:b/>
          <w:bCs/>
          <w:color w:val="auto"/>
          <w:szCs w:val="24"/>
        </w:rPr>
      </w:pPr>
    </w:p>
    <w:p w14:paraId="058FB64A" w14:textId="77777777" w:rsidR="00035AC0" w:rsidRDefault="008F1D79">
      <w:pPr>
        <w:spacing w:line="268" w:lineRule="auto"/>
        <w:ind w:left="-15" w:right="60" w:firstLine="375"/>
        <w:rPr>
          <w:bCs/>
          <w:szCs w:val="24"/>
        </w:rPr>
      </w:pPr>
      <w:r>
        <w:rPr>
          <w:b/>
          <w:szCs w:val="24"/>
        </w:rPr>
        <w:t xml:space="preserve">Начальная цена лота устанавливается в размере </w:t>
      </w:r>
      <w:r>
        <w:rPr>
          <w:b/>
          <w:bCs/>
          <w:sz w:val="22"/>
        </w:rPr>
        <w:t>265</w:t>
      </w:r>
      <w:r>
        <w:rPr>
          <w:b/>
          <w:bCs/>
          <w:sz w:val="22"/>
          <w:shd w:val="clear" w:color="auto" w:fill="FFFFFF"/>
        </w:rPr>
        <w:t> 000 000 (Двести шестьдесят пять миллионов) рублей 00 копеек</w:t>
      </w:r>
      <w:r>
        <w:rPr>
          <w:b/>
          <w:szCs w:val="24"/>
        </w:rPr>
        <w:t xml:space="preserve">, </w:t>
      </w:r>
      <w:r>
        <w:rPr>
          <w:bCs/>
          <w:szCs w:val="24"/>
        </w:rPr>
        <w:t>в том числе:</w:t>
      </w:r>
    </w:p>
    <w:p w14:paraId="7550DF37" w14:textId="77777777" w:rsidR="00035AC0" w:rsidRDefault="008F1D79">
      <w:pPr>
        <w:spacing w:line="268" w:lineRule="auto"/>
        <w:ind w:left="-15" w:right="60" w:firstLine="375"/>
        <w:rPr>
          <w:bCs/>
          <w:szCs w:val="24"/>
        </w:rPr>
      </w:pPr>
      <w:r>
        <w:rPr>
          <w:bCs/>
          <w:szCs w:val="24"/>
        </w:rPr>
        <w:t xml:space="preserve">- </w:t>
      </w:r>
      <w:r>
        <w:rPr>
          <w:sz w:val="22"/>
          <w:lang w:eastAsia="zh-CN" w:bidi="hi-IN"/>
        </w:rPr>
        <w:t>247 589 500 (Двести сорок семь миллионов пятьсот восемьдесят девять тысяч пятьсот)</w:t>
      </w:r>
      <w:r>
        <w:rPr>
          <w:bCs/>
          <w:szCs w:val="24"/>
        </w:rPr>
        <w:t xml:space="preserve"> рублей 00 коп., </w:t>
      </w:r>
      <w:r>
        <w:rPr>
          <w:szCs w:val="24"/>
        </w:rPr>
        <w:t>НДС не облагается</w:t>
      </w:r>
      <w:r>
        <w:rPr>
          <w:bCs/>
          <w:szCs w:val="24"/>
        </w:rPr>
        <w:t xml:space="preserve"> - стоимость земельного участка;</w:t>
      </w:r>
    </w:p>
    <w:p w14:paraId="3A9032DF" w14:textId="77777777" w:rsidR="00035AC0" w:rsidRDefault="008F1D79">
      <w:pPr>
        <w:spacing w:line="268" w:lineRule="auto"/>
        <w:ind w:left="-15" w:right="60" w:firstLine="375"/>
        <w:rPr>
          <w:bCs/>
          <w:szCs w:val="24"/>
        </w:rPr>
      </w:pPr>
      <w:r>
        <w:rPr>
          <w:bCs/>
          <w:szCs w:val="24"/>
        </w:rPr>
        <w:t xml:space="preserve">- </w:t>
      </w:r>
      <w:r>
        <w:rPr>
          <w:sz w:val="22"/>
          <w:lang w:eastAsia="zh-CN" w:bidi="hi-IN"/>
        </w:rPr>
        <w:t>17 410 500 (Семнадцать миллионов четыреста десять тысяч пятьсот)</w:t>
      </w:r>
      <w:r>
        <w:rPr>
          <w:bCs/>
          <w:szCs w:val="24"/>
        </w:rPr>
        <w:t xml:space="preserve"> рублей 00 коп., </w:t>
      </w:r>
      <w:r>
        <w:rPr>
          <w:szCs w:val="24"/>
        </w:rPr>
        <w:t>в том числе НДС</w:t>
      </w:r>
      <w:r>
        <w:rPr>
          <w:bCs/>
          <w:szCs w:val="24"/>
        </w:rPr>
        <w:t xml:space="preserve"> - стоимость объекта незавершённого строительства.</w:t>
      </w:r>
    </w:p>
    <w:p w14:paraId="48FC7272" w14:textId="77777777" w:rsidR="00035AC0" w:rsidRDefault="008F1D79">
      <w:pPr>
        <w:ind w:left="0" w:right="-1" w:firstLine="360"/>
      </w:pPr>
      <w:r>
        <w:rPr>
          <w:b/>
          <w:szCs w:val="24"/>
        </w:rPr>
        <w:t>Сумма задатка – 8 0</w:t>
      </w:r>
      <w:r>
        <w:rPr>
          <w:b/>
          <w:bCs/>
        </w:rPr>
        <w:t>00 000 (Восемь миллионов) рублей 00 коп.</w:t>
      </w:r>
    </w:p>
    <w:p w14:paraId="17BF6CAA" w14:textId="77777777" w:rsidR="00035AC0" w:rsidRDefault="008F1D79">
      <w:pPr>
        <w:ind w:left="0" w:right="60" w:firstLine="360"/>
        <w:rPr>
          <w:b/>
          <w:szCs w:val="24"/>
        </w:rPr>
      </w:pPr>
      <w:r>
        <w:rPr>
          <w:b/>
          <w:szCs w:val="24"/>
        </w:rPr>
        <w:t xml:space="preserve">Шаг аукциона – </w:t>
      </w:r>
      <w:r>
        <w:rPr>
          <w:b/>
          <w:bCs/>
          <w:szCs w:val="24"/>
        </w:rPr>
        <w:t xml:space="preserve">300 000 (Триста </w:t>
      </w:r>
      <w:r>
        <w:rPr>
          <w:b/>
          <w:szCs w:val="24"/>
        </w:rPr>
        <w:t>тысяч) рублей 00 коп.</w:t>
      </w:r>
    </w:p>
    <w:p w14:paraId="25B862CB" w14:textId="77777777" w:rsidR="00035AC0" w:rsidRDefault="00035AC0">
      <w:pPr>
        <w:ind w:left="0" w:right="60" w:firstLine="360"/>
        <w:rPr>
          <w:szCs w:val="24"/>
        </w:rPr>
      </w:pPr>
    </w:p>
    <w:p w14:paraId="2DB2BF98" w14:textId="77777777" w:rsidR="00035AC0" w:rsidRDefault="008F1D79">
      <w:pPr>
        <w:spacing w:after="26" w:line="259" w:lineRule="auto"/>
        <w:ind w:left="54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3D6CE663" w14:textId="77777777" w:rsidR="00035AC0" w:rsidRDefault="008F1D79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15CF3856" w14:textId="77777777" w:rsidR="00035AC0" w:rsidRDefault="008F1D79">
      <w:pPr>
        <w:ind w:right="60" w:firstLine="0"/>
        <w:rPr>
          <w:szCs w:val="24"/>
          <w:lang w:val="en-US"/>
        </w:rPr>
      </w:pP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</w:t>
      </w:r>
      <w:r>
        <w:rPr>
          <w:szCs w:val="24"/>
          <w:u w:val="single"/>
          <w:lang w:val="en-US"/>
        </w:rPr>
        <w:t>https://catalog.lot-online.ru/index.php?dispatch=rad_attachment.getfile&amp;attachment_id=2726858&amp;inline=true</w:t>
      </w:r>
      <w:r>
        <w:rPr>
          <w:szCs w:val="24"/>
          <w:lang w:val="en-US"/>
        </w:rPr>
        <w:t xml:space="preserve"> ).  </w:t>
      </w:r>
    </w:p>
    <w:p w14:paraId="49B102F3" w14:textId="77777777" w:rsidR="00035AC0" w:rsidRDefault="008F1D79">
      <w:pPr>
        <w:spacing w:after="0" w:line="259" w:lineRule="auto"/>
        <w:ind w:left="0" w:right="60" w:firstLine="0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  <w:t xml:space="preserve"> </w:t>
      </w:r>
      <w:r>
        <w:rPr>
          <w:b/>
          <w:szCs w:val="24"/>
          <w:lang w:val="en-US"/>
        </w:rPr>
        <w:t xml:space="preserve"> </w:t>
      </w:r>
    </w:p>
    <w:p w14:paraId="26CAF799" w14:textId="77777777" w:rsidR="00035AC0" w:rsidRDefault="008F1D79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538981D2" w14:textId="77777777" w:rsidR="00035AC0" w:rsidRDefault="008F1D79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5D463BF0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6A76608B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5A62A616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158A81EC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7DA6EBBC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7AE8390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4CF9CCF4" w14:textId="77777777" w:rsidR="00035AC0" w:rsidRDefault="008F1D79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26389BD6" w14:textId="77777777" w:rsidR="00035AC0" w:rsidRDefault="008F1D79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64BF297F" w14:textId="77777777" w:rsidR="00035AC0" w:rsidRDefault="008F1D79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14A7D54A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14:paraId="05AE3DCB" w14:textId="77777777" w:rsidR="00035AC0" w:rsidRDefault="008F1D79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08855A49" w14:textId="77777777" w:rsidR="00035AC0" w:rsidRDefault="008F1D79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7EE54535" w14:textId="77777777" w:rsidR="00035AC0" w:rsidRDefault="008F1D79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Юридические лица: </w:t>
      </w:r>
    </w:p>
    <w:p w14:paraId="3C9D0647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lastRenderedPageBreak/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F06ADBA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6E43B3E6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36597E29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2249AB43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7F3BDDF0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36BE2DA9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38EA6E68" w14:textId="77777777" w:rsidR="00035AC0" w:rsidRDefault="008F1D79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149A6699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025EB4C2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06491A4C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3D828258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52CF454C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</w:t>
      </w:r>
      <w:proofErr w:type="spellStart"/>
      <w:r>
        <w:rPr>
          <w:szCs w:val="24"/>
        </w:rPr>
        <w:t>doc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docx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pdf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jpeg</w:t>
      </w:r>
      <w:proofErr w:type="spellEnd"/>
      <w:r>
        <w:rPr>
          <w:szCs w:val="24"/>
        </w:rPr>
        <w:t xml:space="preserve">. Загружаемые файлы подписываются электронной подписью Претендента. </w:t>
      </w:r>
    </w:p>
    <w:p w14:paraId="74A24F45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1C80208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4102990A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1BB5EDF3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2D764A89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E1639A5" w14:textId="77777777" w:rsidR="00035AC0" w:rsidRDefault="008F1D79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lastRenderedPageBreak/>
        <w:t>р/с № 40702810355000036459 в СЕВЕРО-ЗАПАДНЫЙ БАНК ПАО СБЕРБАНК,</w:t>
      </w:r>
    </w:p>
    <w:p w14:paraId="25AE3A8C" w14:textId="77777777" w:rsidR="00035AC0" w:rsidRDefault="008F1D79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2808CAE7" w14:textId="77777777" w:rsidR="00035AC0" w:rsidRDefault="008F1D79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>Задаток должен поступить на указанный счет не позднее 09</w:t>
      </w:r>
      <w:r>
        <w:rPr>
          <w:b/>
        </w:rPr>
        <w:t>.09.</w:t>
      </w:r>
      <w:r>
        <w:rPr>
          <w:b/>
          <w:szCs w:val="24"/>
        </w:rPr>
        <w:t>2025 г.</w:t>
      </w:r>
      <w:r>
        <w:rPr>
          <w:szCs w:val="24"/>
        </w:rPr>
        <w:t xml:space="preserve"> </w:t>
      </w:r>
    </w:p>
    <w:p w14:paraId="745CC2AD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25A560FC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4865A05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 xml:space="preserve">В платежном документе в графе «назначение платежа» должна содержаться информация: </w:t>
      </w:r>
    </w:p>
    <w:p w14:paraId="41384DAE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2808DA37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 xml:space="preserve">Задаток служит обеспечением исполнения обязательства победителя/ 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 единственного участника аукциона в течение 5 (пяти) рабочих дней с даты подведения итогов аукциона. Задаток, перечисленный победителем торгов/ единственным участником аукциона засчитывается в сумму платежа по договору купли-продажи Объекта. </w:t>
      </w:r>
    </w:p>
    <w:p w14:paraId="76A826D3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</w:t>
      </w:r>
      <w:r>
        <w:rPr>
          <w:szCs w:val="24"/>
        </w:rPr>
        <w:t>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BE66B5C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1B161E4" w14:textId="77777777" w:rsidR="00035AC0" w:rsidRDefault="008F1D79">
      <w:pPr>
        <w:ind w:left="567" w:right="60" w:firstLine="0"/>
        <w:rPr>
          <w:szCs w:val="24"/>
        </w:rPr>
      </w:pPr>
      <w:r>
        <w:rPr>
          <w:szCs w:val="24"/>
        </w:rPr>
        <w:t xml:space="preserve">Для участия в аукционе Претендент может подать только одну заявку. </w:t>
      </w:r>
    </w:p>
    <w:p w14:paraId="4D054DE1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5F8999B6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CDAC750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01D2CFE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6A53D973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2DC9EE11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14:paraId="36BEBB1F" w14:textId="77777777" w:rsidR="00035AC0" w:rsidRDefault="008F1D79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4E1D6FE6" w14:textId="77777777" w:rsidR="00035AC0" w:rsidRDefault="008F1D79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5A5AAA03" w14:textId="77777777" w:rsidR="00035AC0" w:rsidRDefault="008F1D79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63391EA9" w14:textId="77777777" w:rsidR="00035AC0" w:rsidRDefault="008F1D79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215A36FA" w14:textId="77777777" w:rsidR="00035AC0" w:rsidRDefault="008F1D79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CFBD8C8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04B840D5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2B9BEC7E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17CC71B2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19327DED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</w:t>
      </w:r>
      <w:r>
        <w:rPr>
          <w:szCs w:val="24"/>
        </w:rPr>
        <w:t xml:space="preserve">ие на электронной площадке www.lot-online.ru. </w:t>
      </w:r>
    </w:p>
    <w:p w14:paraId="4115B2C8" w14:textId="77777777" w:rsidR="00035AC0" w:rsidRDefault="008F1D79">
      <w:pPr>
        <w:spacing w:after="0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787879A5" w14:textId="77777777" w:rsidR="00035AC0" w:rsidRDefault="008F1D79">
      <w:pPr>
        <w:spacing w:line="268" w:lineRule="auto"/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40DFAAB9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5FA557BE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6523FA60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3049135C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7E788C21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71A4DAC7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5C69E9D2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14:paraId="663BFBEC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263C7663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78966BC9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3DB1E439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6C8D2F41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14:paraId="7F5AB490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5CE0481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5B8F9D02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F872EE4" w14:textId="77777777" w:rsidR="00035AC0" w:rsidRDefault="008F1D79">
      <w:pPr>
        <w:ind w:left="-15" w:right="60" w:firstLine="0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Победителем аукциона признается Участник, предложивший наиболее высокую цену.</w:t>
      </w:r>
    </w:p>
    <w:p w14:paraId="701EC082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6CC39B4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14:paraId="43CE9F9B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68CDE8C1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победителю/ 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E672016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 победителя аукциона/ 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1546BC05" w14:textId="77777777" w:rsidR="00035AC0" w:rsidRDefault="00035AC0">
      <w:pPr>
        <w:ind w:left="-15" w:right="60" w:firstLine="0"/>
        <w:rPr>
          <w:szCs w:val="24"/>
        </w:rPr>
      </w:pPr>
    </w:p>
    <w:p w14:paraId="55A7BEFE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признается несостоявшимся в следующих случаях:</w:t>
      </w:r>
    </w:p>
    <w:p w14:paraId="1F56F270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659F7632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- к участию в аукционе допущен только один Претендент;</w:t>
      </w:r>
    </w:p>
    <w:p w14:paraId="31864F41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- ни один из участников аукциона не сделал предложения по начальной цене Объекта.</w:t>
      </w:r>
    </w:p>
    <w:p w14:paraId="089B4A75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488415D0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hyperlink r:id="rId44" w:tooltip="http://www.lot-online.ru" w:history="1">
        <w:r>
          <w:rPr>
            <w:rStyle w:val="aff7"/>
            <w:szCs w:val="24"/>
          </w:rPr>
          <w:t>www.lot-online.ru</w:t>
        </w:r>
      </w:hyperlink>
      <w:r>
        <w:rPr>
          <w:szCs w:val="24"/>
        </w:rPr>
        <w:t>.</w:t>
      </w:r>
    </w:p>
    <w:p w14:paraId="0E45A5F5" w14:textId="77777777" w:rsidR="00035AC0" w:rsidRDefault="00035AC0">
      <w:pPr>
        <w:ind w:left="-15" w:right="60" w:firstLine="0"/>
        <w:rPr>
          <w:szCs w:val="24"/>
        </w:rPr>
      </w:pPr>
    </w:p>
    <w:p w14:paraId="20FC4FDE" w14:textId="77777777" w:rsidR="00035AC0" w:rsidRDefault="008F1D79">
      <w:pPr>
        <w:ind w:left="-15" w:right="60" w:firstLine="0"/>
        <w:jc w:val="center"/>
        <w:rPr>
          <w:szCs w:val="24"/>
        </w:rPr>
      </w:pPr>
      <w:r>
        <w:rPr>
          <w:szCs w:val="24"/>
        </w:rPr>
        <w:t xml:space="preserve">Телефоны службы технической поддержки </w:t>
      </w:r>
      <w:proofErr w:type="spellStart"/>
      <w:r>
        <w:rPr>
          <w:szCs w:val="24"/>
        </w:rPr>
        <w:t>Lot-online</w:t>
      </w:r>
      <w:proofErr w:type="spellEnd"/>
      <w:r>
        <w:rPr>
          <w:szCs w:val="24"/>
        </w:rPr>
        <w:t>: 8-800-777-57-57, доб. 231, 235.</w:t>
      </w:r>
    </w:p>
    <w:p w14:paraId="0A90C368" w14:textId="77777777" w:rsidR="00035AC0" w:rsidRDefault="008F1D79">
      <w:pPr>
        <w:ind w:left="-15" w:right="60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14:paraId="6EA51265" w14:textId="77777777" w:rsidR="00035AC0" w:rsidRDefault="008F1D79">
      <w:pPr>
        <w:spacing w:line="268" w:lineRule="auto"/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4DBF8D93" w14:textId="77777777" w:rsidR="00035AC0" w:rsidRDefault="008F1D79">
      <w:pPr>
        <w:spacing w:line="268" w:lineRule="auto"/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Договор купли-продажи Объекта заключается победителем электронного аукциона (Покупателем) с Продавцом в течение 5 (пяти)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  <w:r>
        <w:rPr>
          <w:szCs w:val="24"/>
        </w:rPr>
        <w:t xml:space="preserve"> </w:t>
      </w:r>
    </w:p>
    <w:p w14:paraId="48A714FF" w14:textId="77777777" w:rsidR="00035AC0" w:rsidRDefault="008F1D79">
      <w:pPr>
        <w:spacing w:line="269" w:lineRule="auto"/>
        <w:ind w:left="-17" w:right="62" w:firstLine="709"/>
        <w:rPr>
          <w:b/>
          <w:bCs/>
          <w:szCs w:val="24"/>
        </w:rPr>
      </w:pPr>
      <w:r>
        <w:rPr>
          <w:b/>
          <w:bCs/>
          <w:szCs w:val="24"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Договор купли-продажи заключается с Единственным участником аукциона в течение 5 (пяти) рабочих дней с даты признания торгов несостоявшимися.</w:t>
      </w:r>
    </w:p>
    <w:p w14:paraId="4CDD573F" w14:textId="77777777" w:rsidR="00035AC0" w:rsidRDefault="008F1D79">
      <w:pPr>
        <w:ind w:left="0" w:right="60" w:firstLine="0"/>
        <w:rPr>
          <w:b/>
        </w:rPr>
      </w:pPr>
      <w:r>
        <w:rPr>
          <w:b/>
          <w:szCs w:val="24"/>
        </w:rPr>
        <w:tab/>
      </w:r>
      <w:r>
        <w:rPr>
          <w:b/>
          <w:szCs w:val="24"/>
        </w:rPr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  <w:szCs w:val="24"/>
        </w:rPr>
        <w:t xml:space="preserve">  </w:t>
      </w:r>
    </w:p>
    <w:p w14:paraId="6268F935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702D409D" w14:textId="06C26CF3" w:rsidR="00035AC0" w:rsidRDefault="008F1D79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</w:t>
      </w:r>
      <w:r>
        <w:rPr>
          <w:szCs w:val="24"/>
        </w:rPr>
        <w:t>10 (десяти)</w:t>
      </w:r>
      <w:r>
        <w:rPr>
          <w:szCs w:val="24"/>
        </w:rPr>
        <w:t xml:space="preserve"> рабочих дней с даты получения от Продавца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1314C97D" w14:textId="77777777" w:rsidR="00035AC0" w:rsidRDefault="008F1D79">
      <w:pPr>
        <w:ind w:left="-15" w:right="60" w:firstLine="0"/>
        <w:rPr>
          <w:rFonts w:eastAsia="Courier New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  <w:szCs w:val="24"/>
        </w:rPr>
        <w:t xml:space="preserve">в соответствии </w:t>
      </w:r>
      <w:r>
        <w:rPr>
          <w:bCs/>
        </w:rPr>
        <w:t>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1F827D08" w14:textId="77777777" w:rsidR="00035AC0" w:rsidRDefault="008F1D79">
      <w:pPr>
        <w:ind w:left="-15" w:right="60" w:firstLine="0"/>
      </w:pPr>
      <w:r>
        <w:rPr>
          <w:szCs w:val="24"/>
        </w:rPr>
        <w:tab/>
      </w:r>
      <w:r>
        <w:rPr>
          <w:szCs w:val="24"/>
        </w:rPr>
        <w:tab/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</w:t>
      </w:r>
      <w:r>
        <w:rPr>
          <w:szCs w:val="24"/>
        </w:rPr>
        <w:lastRenderedPageBreak/>
        <w:t xml:space="preserve">+7 (967) 246-44-28, 8-800-777-57-57, доб. </w:t>
      </w:r>
      <w:r>
        <w:t>563</w:t>
      </w:r>
      <w:r>
        <w:rPr>
          <w:szCs w:val="24"/>
        </w:rPr>
        <w:t xml:space="preserve">, </w:t>
      </w:r>
      <w:hyperlink r:id="rId45" w:tooltip="mailto:novosibirsk@auction-house.ru" w:history="1">
        <w:r>
          <w:rPr>
            <w:rStyle w:val="aff7"/>
            <w:shd w:val="clear" w:color="auto" w:fill="FFFFFF"/>
          </w:rPr>
          <w:t>n</w:t>
        </w:r>
        <w:r>
          <w:rPr>
            <w:rStyle w:val="aff7"/>
            <w:shd w:val="clear" w:color="auto" w:fill="FFFFFF"/>
            <w:lang w:val="en-US"/>
          </w:rPr>
          <w:t>ovosibirsk</w:t>
        </w:r>
        <w:r>
          <w:rPr>
            <w:rStyle w:val="aff7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 часов (время местное – Новосибирск), не позднее дня окончания приема заявок на торги.</w:t>
      </w:r>
    </w:p>
    <w:p w14:paraId="6C034D5B" w14:textId="77777777" w:rsidR="00035AC0" w:rsidRDefault="00035AC0">
      <w:pPr>
        <w:ind w:left="-15" w:right="60" w:firstLine="0"/>
      </w:pPr>
    </w:p>
    <w:p w14:paraId="55BB97C4" w14:textId="00CBBD93" w:rsidR="00035AC0" w:rsidRPr="00B20498" w:rsidRDefault="008F1D79" w:rsidP="00B20498">
      <w:pPr>
        <w:ind w:left="-15" w:right="60" w:firstLine="723"/>
        <w:rPr>
          <w:szCs w:val="24"/>
        </w:rPr>
      </w:pPr>
      <w:r w:rsidRPr="00B20498">
        <w:rPr>
          <w:b/>
          <w:bCs/>
          <w:szCs w:val="24"/>
        </w:rPr>
        <w:t xml:space="preserve">Участник аукциона лишается права предъявлять претензии к Организатору торгов и Продавцу по поводу юридического </w:t>
      </w:r>
      <w:r w:rsidR="00B20498" w:rsidRPr="00B20498">
        <w:rPr>
          <w:b/>
          <w:bCs/>
          <w:szCs w:val="24"/>
        </w:rPr>
        <w:t>и физического</w:t>
      </w:r>
      <w:r w:rsidRPr="00B20498">
        <w:rPr>
          <w:b/>
          <w:bCs/>
          <w:szCs w:val="24"/>
        </w:rPr>
        <w:t xml:space="preserve"> состояния </w:t>
      </w:r>
      <w:r w:rsidR="00B20498" w:rsidRPr="00B20498">
        <w:rPr>
          <w:b/>
          <w:bCs/>
          <w:szCs w:val="24"/>
        </w:rPr>
        <w:t>Объекта в случае, если</w:t>
      </w:r>
      <w:r w:rsidRPr="00B20498">
        <w:rPr>
          <w:b/>
          <w:bCs/>
          <w:szCs w:val="24"/>
        </w:rPr>
        <w:t xml:space="preserve"> </w:t>
      </w:r>
      <w:r w:rsidR="00B20498" w:rsidRPr="00B20498">
        <w:rPr>
          <w:b/>
          <w:bCs/>
          <w:szCs w:val="24"/>
        </w:rPr>
        <w:t>он не</w:t>
      </w:r>
      <w:r w:rsidRPr="00B20498">
        <w:rPr>
          <w:b/>
          <w:bCs/>
          <w:szCs w:val="24"/>
        </w:rPr>
        <w:t xml:space="preserve"> реализовал свое право на осмотр Объекта и изучение его технической документации</w:t>
      </w:r>
      <w:r w:rsidRPr="00B20498">
        <w:rPr>
          <w:bCs/>
          <w:szCs w:val="24"/>
        </w:rPr>
        <w:t>.</w:t>
      </w:r>
    </w:p>
    <w:sectPr w:rsidR="00035AC0" w:rsidRPr="00B20498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9ACB" w14:textId="77777777" w:rsidR="00035AC0" w:rsidRDefault="008F1D79">
      <w:pPr>
        <w:spacing w:after="0" w:line="240" w:lineRule="auto"/>
      </w:pPr>
      <w:r>
        <w:separator/>
      </w:r>
    </w:p>
  </w:endnote>
  <w:endnote w:type="continuationSeparator" w:id="0">
    <w:p w14:paraId="574E94D1" w14:textId="77777777" w:rsidR="00035AC0" w:rsidRDefault="008F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11F4" w14:textId="77777777" w:rsidR="00035AC0" w:rsidRDefault="008F1D79">
      <w:pPr>
        <w:spacing w:after="0" w:line="240" w:lineRule="auto"/>
      </w:pPr>
      <w:r>
        <w:separator/>
      </w:r>
    </w:p>
  </w:footnote>
  <w:footnote w:type="continuationSeparator" w:id="0">
    <w:p w14:paraId="23B6CEA1" w14:textId="77777777" w:rsidR="00035AC0" w:rsidRDefault="008F1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7053"/>
    <w:multiLevelType w:val="multilevel"/>
    <w:tmpl w:val="BB08CED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4BE1FDF"/>
    <w:multiLevelType w:val="multilevel"/>
    <w:tmpl w:val="0C322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E96451"/>
    <w:multiLevelType w:val="multilevel"/>
    <w:tmpl w:val="AA725A0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F95220C"/>
    <w:multiLevelType w:val="multilevel"/>
    <w:tmpl w:val="D51E65C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706103782">
    <w:abstractNumId w:val="2"/>
  </w:num>
  <w:num w:numId="2" w16cid:durableId="795031538">
    <w:abstractNumId w:val="0"/>
  </w:num>
  <w:num w:numId="3" w16cid:durableId="1750887583">
    <w:abstractNumId w:val="3"/>
  </w:num>
  <w:num w:numId="4" w16cid:durableId="113202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C0"/>
    <w:rsid w:val="00035AC0"/>
    <w:rsid w:val="005C4065"/>
    <w:rsid w:val="008F1D79"/>
    <w:rsid w:val="00B2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E521"/>
  <w15:docId w15:val="{12F7FB90-AD13-4DE4-9B2F-D2F5A9C7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2">
    <w:name w:val="Текст выноски Знак"/>
    <w:basedOn w:val="a0"/>
    <w:link w:val="aff3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4">
    <w:name w:val="Текст сноски Знак"/>
    <w:basedOn w:val="a0"/>
    <w:link w:val="aff5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6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7">
    <w:name w:val="Hyperlink"/>
    <w:rPr>
      <w:color w:val="000080"/>
      <w:u w:val="single"/>
    </w:rPr>
  </w:style>
  <w:style w:type="character" w:styleId="aff8">
    <w:name w:val="line number"/>
  </w:style>
  <w:style w:type="paragraph" w:styleId="a6">
    <w:name w:val="Title"/>
    <w:basedOn w:val="a"/>
    <w:next w:val="aff9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styleId="affd">
    <w:name w:val="List Paragraph"/>
    <w:basedOn w:val="a"/>
    <w:uiPriority w:val="34"/>
    <w:qFormat/>
    <w:pPr>
      <w:ind w:left="720"/>
      <w:contextualSpacing/>
    </w:pPr>
  </w:style>
  <w:style w:type="paragraph" w:styleId="affe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f">
    <w:name w:val="annotation text"/>
    <w:basedOn w:val="a"/>
    <w:link w:val="af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styleId="aff3">
    <w:name w:val="Balloon Text"/>
    <w:basedOn w:val="a"/>
    <w:link w:val="aff2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5">
    <w:name w:val="footnote text"/>
    <w:basedOn w:val="a"/>
    <w:link w:val="af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fff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mailto:novosibirsk@auction-hous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B3FB-FF32-46D1-B527-9127A371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4007</Words>
  <Characters>22846</Characters>
  <Application>Microsoft Office Word</Application>
  <DocSecurity>4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Лепихин Алексей Игоревич</cp:lastModifiedBy>
  <cp:revision>2</cp:revision>
  <dcterms:created xsi:type="dcterms:W3CDTF">2025-08-07T09:00:00Z</dcterms:created>
  <dcterms:modified xsi:type="dcterms:W3CDTF">2025-08-07T09:00:00Z</dcterms:modified>
  <dc:language>ru-RU</dc:language>
</cp:coreProperties>
</file>