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BB90E">
      <w:pPr>
        <w:pStyle w:val="1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93AD1E9">
      <w:pPr>
        <w:ind w:firstLine="290"/>
        <w:jc w:val="center"/>
        <w:rPr>
          <w:sz w:val="28"/>
          <w:szCs w:val="28"/>
        </w:rPr>
      </w:pPr>
      <w:r>
        <w:rPr>
          <w:sz w:val="28"/>
          <w:szCs w:val="28"/>
        </w:rPr>
        <w:t>Сообщение о проведении торгов №241231</w:t>
      </w:r>
    </w:p>
    <w:p w14:paraId="10AC356B">
      <w:pPr>
        <w:pStyle w:val="10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торгов: 10.09.2025 10:00</w:t>
      </w:r>
    </w:p>
    <w:p w14:paraId="54B2E32B">
      <w:pPr>
        <w:pStyle w:val="10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43FDFC0">
      <w:pPr>
        <w:pStyle w:val="10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1017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6"/>
        <w:gridCol w:w="5103"/>
      </w:tblGrid>
      <w:tr w14:paraId="7D20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318BA354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  <w:noWrap w:val="0"/>
            <w:vAlign w:val="top"/>
          </w:tcPr>
          <w:p w14:paraId="12E02448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Носов Павел Викторович, </w:t>
            </w:r>
          </w:p>
          <w:p w14:paraId="46D5345C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ИНН 663900556295.</w:t>
            </w:r>
          </w:p>
          <w:p w14:paraId="5FFB9FD0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14:paraId="2D9DF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78474A41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является;</w:t>
            </w:r>
          </w:p>
          <w:p w14:paraId="17E72085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конкурсного управляющего, краткое наименование конкурсного управляющего, ОГРН конкурсного управляющего (для процедур в отношении несостоятельных банков);</w:t>
            </w:r>
          </w:p>
        </w:tc>
        <w:tc>
          <w:tcPr>
            <w:tcW w:w="5103" w:type="dxa"/>
            <w:noWrap w:val="0"/>
            <w:vAlign w:val="top"/>
          </w:tcPr>
          <w:p w14:paraId="2D14D7E7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Комарова Вера Сергеевна</w:t>
            </w:r>
          </w:p>
          <w:p w14:paraId="670FF98A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Ассоциация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СОАУ "Меркурий"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социация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"Саморегулируемая организация арбитражных управляющих "Меркурий")</w:t>
            </w:r>
          </w:p>
        </w:tc>
      </w:tr>
      <w:tr w14:paraId="685AC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3C5FD45F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  <w:noWrap w:val="0"/>
            <w:vAlign w:val="top"/>
          </w:tcPr>
          <w:p w14:paraId="08788B6F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Арбитражный суд Свердловской области, дело о банкротстве А60-66555/2024</w:t>
            </w:r>
          </w:p>
        </w:tc>
      </w:tr>
      <w:tr w14:paraId="7339A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25B8C9D0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  <w:noWrap w:val="0"/>
            <w:vAlign w:val="top"/>
          </w:tcPr>
          <w:p w14:paraId="2AC198BB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Арбитражный суд Свердловской области Решение о признании банкротом от 19.12.2024 г.</w:t>
            </w:r>
          </w:p>
        </w:tc>
      </w:tr>
      <w:tr w14:paraId="77309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11B98FE0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  <w:noWrap w:val="0"/>
            <w:vAlign w:val="top"/>
          </w:tcPr>
          <w:p w14:paraId="6F7B5FBC">
            <w:pPr>
              <w:pStyle w:val="10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1: Легковой автомобиль универсал НИССАН СЕРЕНА, 2006 г.в. ГРЗ: Е548АМ196; VIN: NC25-054828; № кузова (кабины): NC25-054828..</w:t>
            </w:r>
          </w:p>
        </w:tc>
      </w:tr>
      <w:tr w14:paraId="6EBCE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53611AAC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  <w:noWrap w:val="0"/>
            <w:vAlign w:val="top"/>
          </w:tcPr>
          <w:p w14:paraId="5E1C964E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 с открытой формой подачи предложений</w:t>
            </w:r>
          </w:p>
        </w:tc>
      </w:tr>
      <w:tr w14:paraId="3F4A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3CF6D304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w="5103" w:type="dxa"/>
            <w:noWrap w:val="0"/>
            <w:vAlign w:val="top"/>
          </w:tcPr>
          <w:p w14:paraId="7AEADE9D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2142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03AF03D0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  <w:noWrap w:val="0"/>
            <w:vAlign w:val="top"/>
          </w:tcPr>
          <w:p w14:paraId="023036CB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заявок на участие в торгах осуществляется по адресу: http://lot-online.ru  с 04.08.2025 г. и заканчивается 08.09.2025 г. в 10:00 (время московское).</w:t>
            </w:r>
          </w:p>
        </w:tc>
      </w:tr>
      <w:tr w14:paraId="352AC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07C47FCB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  <w:noWrap w:val="0"/>
            <w:vAlign w:val="top"/>
          </w:tcPr>
          <w:p w14:paraId="56B3F54B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Федеральным законом «О несостоятельности (банкротстве)» и указанным в сообщении о проведении торгов и Положении о порядке реализации имущества должника. Заявители, допущенные к участию в торгах, признаются участниками торгов. Для участия в открытых торгах в форме аукциона заявитель подает в установленный срок заявку на участие в открытых электронных торгах, которая оформляется в виде электронного документа и подается на сайт оператора электронной торговой площадки. Заявка на участие в торгах должна соответствовать требованиям, установленным ФЗ «О несостоятельности (банкротстве)», приказу Министерства экономического развития РФ (Минэкономразвития России) от 23.07.2015 г. № 495 и требованиям, указанным в сообщении о проведении торгов, и оформляется в форме электронного документа. К заявке на участие в торгах должны прилагаться копии следующих документов: а) действительная на день представления заявки на участие в торгах выписка из единого государственного реестра юридических лиц; б) действительная на день представления заявки на участие в торгах выписка из единого государственного реестра индивидуальных предпринимателей и свидетельства о государственной регистрации (для индивидуального предпринимателя); в) копия паспорта (для физического лица); г) заверенные подписью и печатью организации копии учредительных документов, а также Свидетельство о государственной регистрации юридического лица и Свидетельство о постановке на налоговый учёт (для юридического лица); д) документ, подтверждающий полномочия лица на осуществление действий от имени заявителя с правом подписания заявки (доверенность или протокол о назначении исполнительного органа); е) платежный документ об уплате суммы задатка (расчетно-кассовый ордер, платежное поручение, иной финансовый платежный документ, подтверждающий уплату задатка). </w:t>
            </w:r>
            <w:r>
              <w:rPr>
                <w:rFonts w:hint="default"/>
                <w:bCs/>
                <w:sz w:val="28"/>
                <w:szCs w:val="28"/>
              </w:rPr>
              <w:t>Документы, прилагаемые к заявке, представляются в форме электронных документов, подписанных электронной цифровой подписью заявителя в адрес оператора электронной площадки. Заявитель обязан обеспечить поступление вышеуказанных документов организатору торгов и оператору электронной площадки вместе с заявкой на участие в торгах. Риск несвоевременного поступления документов несет заявитель. Решение Организатора торгов о допуске заявителей к участию в открытых торгах принимается в течение пяти дней по результатам рассмотрения всех представленных заявок на участие в открытых торгах и оформляется протоколом об определении участников торгов. Решение об отказе в допуске заявителя к участию в торгах принимается в случае, если: 1) заявка на участие в торгах не соответствует требованиям, установленным Федеральным законом «О несостоятельности (банкротстве)» и указанным в сообщении о проведении торгов, Порядке проведения открытых торгов в электронной форме при продаже имущества (предприятия) должника в ходе процедур, применяемых в деле о банкротстве и настоящем Положении; 2) представленные заявителем документы не соответствуют установленным к ним требованиям или сведения, содержащиеся в них, недостоверны; 3) поступление задатка на счета, указанные в сообщении о проведении торгов и настоящем Положении, не подтверждено на дату составления протокола об определении участников торгов.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14:paraId="1409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5A53066E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  <w:noWrap w:val="0"/>
            <w:vAlign w:val="top"/>
          </w:tcPr>
          <w:p w14:paraId="430B642C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14:paraId="39414DBA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1: 79 200.00 руб.</w:t>
            </w:r>
          </w:p>
          <w:p w14:paraId="7776207D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90ECDA5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Для участия в торгах претендент вносит задаток в размере и сроки, указанные в сообщении о проведении торгов, на расчетный счет АО "Российский аукционный дом" по реквизитам, указанным организатором торгов в сообщении о торгах. Размер задатка составляет 10 % от начальной цены имущества на соответствующих торгах. Задаток должен быть внесен лицом, намеренным принять участие в торгах, не позднее даты окончания приема заявок, указанной в сообщении о проведении торгов. Задаток считается внесенным с даты поступления всей суммы задатка на расчетный счет по реквизитам, указанным организатором торгов в сообщении о торгах. В случае поступления не полной суммы задатка на дату составления протокола об определении участников торгов, обязательство лица, намеренного принять участие в торгах, по внесению задатка считаются не исполненными. В этом случае указанное лицо к участию в торгах не допускается. Представление Претендентом платежных документов с отметкой об исполнении при этом во внимание Организатором торгов не принимается. Суммы внесенных заявителями задатков возвращаются всем заявителям, за исключением победителя торгов, в течение 5 рабочих дней со дня подписания протокола о результатах проведения торгов. При заключении договора купли-продажи с лицом, которое выиграло торги, сумма внесенного последним задатка включается в счет исполнения его обязательств по данному договору..</w:t>
            </w:r>
          </w:p>
          <w:p w14:paraId="0CC5FB7E">
            <w:pPr>
              <w:pStyle w:val="14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>АО «Российский аукционный дом» (ИНН 7838430413, КПП 783801001): р/с № 40702810355000036459 в СЕВЕРО-ЗАПАДНЫЙ БАНК ПАО СБЕРБАНК, БИК 044030653, к/с 30101810500000000653.</w:t>
            </w:r>
          </w:p>
        </w:tc>
      </w:tr>
      <w:tr w14:paraId="1C04E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32C5A4FB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л) начальная цена продажи имущества (предприятия) должника;</w:t>
            </w:r>
          </w:p>
        </w:tc>
        <w:tc>
          <w:tcPr>
            <w:tcW w:w="5103" w:type="dxa"/>
            <w:noWrap w:val="0"/>
            <w:vAlign w:val="top"/>
          </w:tcPr>
          <w:p w14:paraId="0745AF9C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1: 792 000.00 руб.</w:t>
            </w:r>
          </w:p>
          <w:p w14:paraId="4CA4ADF0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14:paraId="24CD4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211189B0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м) величина повышения начальной 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  <w:noWrap w:val="0"/>
            <w:vAlign w:val="top"/>
          </w:tcPr>
          <w:p w14:paraId="56695B19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Лот 1: 39 600.00 руб.</w:t>
            </w:r>
          </w:p>
          <w:p w14:paraId="4A8AAF61">
            <w:pPr>
              <w:ind w:firstLine="290"/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14:paraId="3D951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09658197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н) порядок и критерии определения победителя торгов;</w:t>
            </w:r>
          </w:p>
        </w:tc>
        <w:tc>
          <w:tcPr>
            <w:tcW w:w="5103" w:type="dxa"/>
            <w:noWrap w:val="0"/>
            <w:vAlign w:val="top"/>
          </w:tcPr>
          <w:p w14:paraId="7BBA1688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Торги проводятся путем повышения начальной цены продажи имущества на «шаг аукциона», который устанавливается организатором торгов в размере 5% от начальной цены имущества. Выигравшим торги признается участник, предложивший наиболее высокую цену за продаваемое имущество на торгах. Для участия в торгах претендент вносит задаток в размере и сроки, указанные в сообщении о проведении торгов, на расчетный счет по реквизитам, указанным организатором торгов в сообщении о торгах.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соответствует условиям торгов и содержит предложение о цене имущества не ниже установленной начальной цены продажи, финансовый управляющий заключает договор купли-продажи имущества с этим единственным Участником в соответствии с условиями торгов и по цене, предложенной Участником.</w:t>
            </w:r>
          </w:p>
        </w:tc>
      </w:tr>
      <w:tr w14:paraId="1F658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4783AAD5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  <w:noWrap w:val="0"/>
            <w:vAlign w:val="top"/>
          </w:tcPr>
          <w:p w14:paraId="416B36F1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</w:t>
            </w:r>
          </w:p>
        </w:tc>
      </w:tr>
      <w:tr w14:paraId="30160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04F4EFA5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  <w:noWrap w:val="0"/>
            <w:vAlign w:val="top"/>
          </w:tcPr>
          <w:p w14:paraId="5D22B877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течение пяти рабочих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договора. Предложение о заключении договора и проект договора купли-продажи может быть направлено победителю торгов в электронном виде. При уклонении или отказе Победителя от заключения договора купли-продажи имущества в пятидневный срок с даты получения соответствующего предложения внесенный задаток ему не возвращается, и Финансовый управляющий вправе предложить заключить договор купли-продажи имущества Участнику, которым предложена наиболее высокая цена имущества по сравнению с ценой имущества, предложенной другими Участниками, за исключением Победителя.</w:t>
            </w:r>
          </w:p>
        </w:tc>
      </w:tr>
      <w:tr w14:paraId="7C8FC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09D8E9F1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  <w:noWrap w:val="0"/>
            <w:vAlign w:val="top"/>
          </w:tcPr>
          <w:p w14:paraId="59879D12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Оплата в соответствии с договором купли-продажи имущества должна быть осуществлена покупателем в течение 30 (тридцати) дней со дня подписания этого договора на специальный счет должника. Передача имущества финансовым управляющим и принятие его Покупателем осуществляются по передаточному акту, подписываемому сторонами. Расходы на регистрационные действия несет Покупатель.</w:t>
            </w:r>
          </w:p>
        </w:tc>
      </w:tr>
      <w:tr w14:paraId="2184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273FBE34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  <w:noWrap w:val="0"/>
            <w:vAlign w:val="top"/>
          </w:tcPr>
          <w:p w14:paraId="3DF69EB0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Комарова Вера Сергеевна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663300115789,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Свердловская обл, г Верхняя Пышма,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/я 49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тел. 89193724748, e-mail: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instrText xml:space="preserve"> HYPERLINK "mailto:agafonov@property-fund.ru" </w:instrTex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vera_vyukova@mail.ru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).</w:t>
            </w:r>
          </w:p>
        </w:tc>
      </w:tr>
      <w:tr w14:paraId="07ED7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328471A6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>
              <w:rPr>
                <w:color w:val="auto"/>
                <w:sz w:val="28"/>
                <w:szCs w:val="28"/>
              </w:rPr>
              <w:t>законом</w:t>
            </w:r>
            <w:r>
              <w:rPr>
                <w:sz w:val="28"/>
                <w:szCs w:val="28"/>
              </w:rPr>
              <w:t xml:space="preserve"> от 26 октября 2002 г.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14:paraId="7BDE3CDE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noWrap w:val="0"/>
            <w:vAlign w:val="top"/>
          </w:tcPr>
          <w:p w14:paraId="77335174">
            <w:pPr>
              <w:pStyle w:val="10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31.07.2025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года</w:t>
            </w:r>
          </w:p>
          <w:p w14:paraId="788C1E28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29459BE3">
      <w:pPr>
        <w:pStyle w:val="1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14:paraId="128BE203">
      <w:pPr>
        <w:pStyle w:val="10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1" w:bottom="1134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CD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718BC"/>
    <w:rsid w:val="00185429"/>
    <w:rsid w:val="001A3B5D"/>
    <w:rsid w:val="001B4562"/>
    <w:rsid w:val="001B593E"/>
    <w:rsid w:val="001B65A2"/>
    <w:rsid w:val="001D2D62"/>
    <w:rsid w:val="00281FE0"/>
    <w:rsid w:val="002838CD"/>
    <w:rsid w:val="002A1506"/>
    <w:rsid w:val="002F1424"/>
    <w:rsid w:val="00347AE0"/>
    <w:rsid w:val="00412493"/>
    <w:rsid w:val="00451D73"/>
    <w:rsid w:val="004757FF"/>
    <w:rsid w:val="00546649"/>
    <w:rsid w:val="00574C2D"/>
    <w:rsid w:val="005B20E8"/>
    <w:rsid w:val="005F29B0"/>
    <w:rsid w:val="006017FD"/>
    <w:rsid w:val="006612A6"/>
    <w:rsid w:val="006D6F78"/>
    <w:rsid w:val="006E156B"/>
    <w:rsid w:val="006E495F"/>
    <w:rsid w:val="007205B7"/>
    <w:rsid w:val="00737077"/>
    <w:rsid w:val="007C2026"/>
    <w:rsid w:val="007E2F3E"/>
    <w:rsid w:val="0081255E"/>
    <w:rsid w:val="00817654"/>
    <w:rsid w:val="00872C86"/>
    <w:rsid w:val="009541A3"/>
    <w:rsid w:val="00985426"/>
    <w:rsid w:val="00A03A31"/>
    <w:rsid w:val="00A370C5"/>
    <w:rsid w:val="00A57765"/>
    <w:rsid w:val="00A86235"/>
    <w:rsid w:val="00B16892"/>
    <w:rsid w:val="00B438AA"/>
    <w:rsid w:val="00B4576E"/>
    <w:rsid w:val="00B77F6B"/>
    <w:rsid w:val="00B86FE2"/>
    <w:rsid w:val="00BA77EE"/>
    <w:rsid w:val="00BE4C4E"/>
    <w:rsid w:val="00C0559E"/>
    <w:rsid w:val="00C70A36"/>
    <w:rsid w:val="00C80788"/>
    <w:rsid w:val="00CC62CC"/>
    <w:rsid w:val="00D342DA"/>
    <w:rsid w:val="00DA7C2C"/>
    <w:rsid w:val="00E27E49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  <w:rsid w:val="0D805D5A"/>
    <w:rsid w:val="450B42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4">
    <w:name w:val="annotation reference"/>
    <w:semiHidden/>
    <w:uiPriority w:val="0"/>
    <w:rPr>
      <w:sz w:val="16"/>
      <w:szCs w:val="16"/>
    </w:rPr>
  </w:style>
  <w:style w:type="character" w:styleId="5">
    <w:name w:val="Hyperlink"/>
    <w:uiPriority w:val="0"/>
    <w:rPr>
      <w:color w:val="0000FF"/>
      <w:u w:val="single"/>
    </w:rPr>
  </w:style>
  <w:style w:type="paragraph" w:styleId="6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7">
    <w:name w:val="annotation text"/>
    <w:basedOn w:val="1"/>
    <w:semiHidden/>
    <w:uiPriority w:val="0"/>
    <w:rPr>
      <w:sz w:val="20"/>
      <w:szCs w:val="20"/>
    </w:rPr>
  </w:style>
  <w:style w:type="paragraph" w:styleId="8">
    <w:name w:val="annotation subject"/>
    <w:basedOn w:val="7"/>
    <w:next w:val="7"/>
    <w:semiHidden/>
    <w:uiPriority w:val="0"/>
    <w:rPr>
      <w:b/>
      <w:bCs/>
    </w:rPr>
  </w:style>
  <w:style w:type="table" w:styleId="9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onsPlusNormal"/>
    <w:uiPriority w:val="0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11">
    <w:name w:val="ConsPlusNonformat"/>
    <w:uiPriority w:val="0"/>
    <w:pPr>
      <w:autoSpaceDE w:val="0"/>
      <w:autoSpaceDN w:val="0"/>
      <w:adjustRightInd w:val="0"/>
    </w:pPr>
    <w:rPr>
      <w:rFonts w:ascii="Courier New" w:hAnsi="Courier New" w:cs="Courier New"/>
      <w:lang w:val="ru-RU" w:eastAsia="ru-RU" w:bidi="ar-SA"/>
    </w:rPr>
  </w:style>
  <w:style w:type="paragraph" w:customStyle="1" w:styleId="12">
    <w:name w:val="_Style 18"/>
    <w:basedOn w:val="1"/>
    <w:uiPriority w:val="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3">
    <w:name w:val="paragraph"/>
    <w:basedOn w:val="2"/>
    <w:uiPriority w:val="0"/>
  </w:style>
  <w:style w:type="paragraph" w:customStyle="1" w:styleId="14">
    <w:name w:val="ConsTitle"/>
    <w:uiPriority w:val="0"/>
    <w:pPr>
      <w:widowControl w:val="0"/>
    </w:pPr>
    <w:rPr>
      <w:rFonts w:ascii="Arial" w:hAnsi="Arial"/>
      <w:b/>
      <w:snapToGrid w:val="0"/>
      <w:sz w:val="16"/>
      <w:lang w:val="ru-RU" w:eastAsia="ru-RU" w:bidi="ar-SA"/>
    </w:rPr>
  </w:style>
  <w:style w:type="character" w:customStyle="1" w:styleId="15">
    <w:name w:val="apple-style-span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1541</Words>
  <Characters>8789</Characters>
  <Lines>73</Lines>
  <Paragraphs>20</Paragraphs>
  <TotalTime>4</TotalTime>
  <ScaleCrop>false</ScaleCrop>
  <LinksUpToDate>false</LinksUpToDate>
  <CharactersWithSpaces>10310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2011-07-08T08:43:00Z</dcterms:created>
  <dc:creator>Просвирницына Рина</dc:creator>
  <cp:lastModifiedBy>Верочка</cp:lastModifiedBy>
  <cp:lastPrinted>2010-11-10T14:05:00Z</cp:lastPrinted>
  <dcterms:modified xsi:type="dcterms:W3CDTF">2025-08-01T09:33:17Z</dcterms:modified>
  <dc:title>3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36599EDF0CD24AF1B0157AB21584171E_13</vt:lpwstr>
  </property>
</Properties>
</file>