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Коваленко Артём Сергеевич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Легковой хэтчбек HYUNDAI GETZ GLS 1.4 AT. АКПП.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Евтодиенко (ранее Макарова) Наталья Владимировна (дата рождения: 13.01.1993 г., место рождения: с. Березовая Лука Духовницкий р-н Саратовская обл., СНИЛС 146-939-443 09, ИНН 641101477700, регистрация по месту жительства: 410050, Саратовская обл., г. Саратов, пр-д 2-й Овсяной, д. 5, кв. 21)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Легковой хэтчбек HYUNDAI GETZ GLS 1.4 AT. АКПП.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Коваленко Артём Сергеевич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