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7617B817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605C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14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0605C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0605C9">
        <w:rPr>
          <w:rFonts w:ascii="Times New Roman" w:eastAsia="Calibri" w:hAnsi="Times New Roman" w:cs="Times New Roman"/>
          <w:b/>
        </w:rPr>
        <w:t>05.07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1F5030">
        <w:rPr>
          <w:rFonts w:ascii="Times New Roman" w:eastAsia="Calibri" w:hAnsi="Times New Roman" w:cs="Times New Roman"/>
          <w:b/>
        </w:rPr>
        <w:t>5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0605C9">
        <w:rPr>
          <w:rFonts w:ascii="Times New Roman" w:eastAsia="Calibri" w:hAnsi="Times New Roman" w:cs="Times New Roman"/>
          <w:b/>
        </w:rPr>
        <w:t>10</w:t>
      </w:r>
      <w:r w:rsidR="001F5030">
        <w:rPr>
          <w:rFonts w:ascii="Times New Roman" w:eastAsia="Calibri" w:hAnsi="Times New Roman" w:cs="Times New Roman"/>
          <w:b/>
        </w:rPr>
        <w:t>.</w:t>
      </w:r>
      <w:r w:rsidR="000605C9">
        <w:rPr>
          <w:rFonts w:ascii="Times New Roman" w:eastAsia="Calibri" w:hAnsi="Times New Roman" w:cs="Times New Roman"/>
          <w:b/>
        </w:rPr>
        <w:t>08</w:t>
      </w:r>
      <w:r w:rsidR="0081019D" w:rsidRPr="0081019D">
        <w:rPr>
          <w:rFonts w:ascii="Times New Roman" w:eastAsia="Calibri" w:hAnsi="Times New Roman" w:cs="Times New Roman"/>
          <w:b/>
        </w:rPr>
        <w:t>.2025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0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13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0605C9">
        <w:rPr>
          <w:rFonts w:ascii="Times New Roman" w:eastAsia="Calibri" w:hAnsi="Times New Roman" w:cs="Times New Roman"/>
          <w:b/>
        </w:rPr>
        <w:t>08</w:t>
      </w:r>
      <w:r w:rsidR="00D43EB3" w:rsidRPr="001F3BBF">
        <w:rPr>
          <w:rFonts w:ascii="Times New Roman" w:eastAsia="Calibri" w:hAnsi="Times New Roman" w:cs="Times New Roman"/>
          <w:b/>
        </w:rPr>
        <w:t>.2025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1" w:name="_Hlk71712212"/>
    </w:p>
    <w:p w14:paraId="0F13A531" w14:textId="57ED9307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>В случае</w:t>
      </w:r>
      <w:proofErr w:type="gramStart"/>
      <w:r w:rsidRPr="001F3BBF">
        <w:rPr>
          <w:rFonts w:ascii="Times New Roman" w:hAnsi="Times New Roman" w:cs="Times New Roman"/>
        </w:rPr>
        <w:t>,</w:t>
      </w:r>
      <w:proofErr w:type="gramEnd"/>
      <w:r w:rsidRPr="001F3BBF">
        <w:rPr>
          <w:rFonts w:ascii="Times New Roman" w:hAnsi="Times New Roman" w:cs="Times New Roman"/>
        </w:rPr>
        <w:t xml:space="preserve"> если по итогам Торгов, назначенных на </w:t>
      </w:r>
      <w:r w:rsidR="00D42A41" w:rsidRPr="00C2143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0605C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0605C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0605C9">
        <w:rPr>
          <w:rFonts w:ascii="Times New Roman" w:hAnsi="Times New Roman" w:cs="Times New Roman"/>
          <w:b/>
        </w:rPr>
        <w:t>2</w:t>
      </w:r>
      <w:r w:rsidR="002473B4" w:rsidRPr="00C21438">
        <w:rPr>
          <w:rFonts w:ascii="Times New Roman" w:hAnsi="Times New Roman" w:cs="Times New Roman"/>
          <w:b/>
        </w:rPr>
        <w:t>5</w:t>
      </w:r>
      <w:r w:rsidR="00D43EB3" w:rsidRPr="001F3BBF">
        <w:rPr>
          <w:rFonts w:ascii="Times New Roman" w:hAnsi="Times New Roman" w:cs="Times New Roman"/>
          <w:b/>
        </w:rPr>
        <w:t>.0</w:t>
      </w:r>
      <w:r w:rsidR="000605C9">
        <w:rPr>
          <w:rFonts w:ascii="Times New Roman" w:hAnsi="Times New Roman" w:cs="Times New Roman"/>
          <w:b/>
        </w:rPr>
        <w:t>9</w:t>
      </w:r>
      <w:r w:rsidR="002E1DD3" w:rsidRPr="001F3BBF">
        <w:rPr>
          <w:rFonts w:ascii="Times New Roman" w:hAnsi="Times New Roman" w:cs="Times New Roman"/>
          <w:b/>
        </w:rPr>
        <w:t>.2025</w:t>
      </w:r>
      <w:r w:rsidR="00D43EB3" w:rsidRPr="001F3BBF">
        <w:rPr>
          <w:rFonts w:ascii="Times New Roman" w:hAnsi="Times New Roman" w:cs="Times New Roman"/>
          <w:b/>
        </w:rPr>
        <w:t xml:space="preserve"> 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0605C9">
        <w:rPr>
          <w:rFonts w:ascii="Times New Roman" w:hAnsi="Times New Roman" w:cs="Times New Roman"/>
          <w:b/>
        </w:rPr>
        <w:t>17</w:t>
      </w:r>
      <w:r w:rsidR="00D43EB3" w:rsidRPr="001F3BBF">
        <w:rPr>
          <w:rFonts w:ascii="Times New Roman" w:hAnsi="Times New Roman" w:cs="Times New Roman"/>
          <w:b/>
        </w:rPr>
        <w:t>.0</w:t>
      </w:r>
      <w:r w:rsidR="000605C9">
        <w:rPr>
          <w:rFonts w:ascii="Times New Roman" w:hAnsi="Times New Roman" w:cs="Times New Roman"/>
          <w:b/>
        </w:rPr>
        <w:t>8</w:t>
      </w:r>
      <w:r w:rsidR="00D43EB3" w:rsidRPr="001F3BBF">
        <w:rPr>
          <w:rFonts w:ascii="Times New Roman" w:hAnsi="Times New Roman" w:cs="Times New Roman"/>
          <w:b/>
        </w:rPr>
        <w:t>.2025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1F5030">
        <w:rPr>
          <w:rFonts w:ascii="Times New Roman" w:hAnsi="Times New Roman" w:cs="Times New Roman"/>
          <w:b/>
        </w:rPr>
        <w:t>2</w:t>
      </w:r>
      <w:r w:rsidR="000605C9">
        <w:rPr>
          <w:rFonts w:ascii="Times New Roman" w:hAnsi="Times New Roman" w:cs="Times New Roman"/>
          <w:b/>
        </w:rPr>
        <w:t>1</w:t>
      </w:r>
      <w:r w:rsidR="00D43EB3" w:rsidRPr="001F3BBF">
        <w:rPr>
          <w:rFonts w:ascii="Times New Roman" w:hAnsi="Times New Roman" w:cs="Times New Roman"/>
          <w:b/>
        </w:rPr>
        <w:t>.0</w:t>
      </w:r>
      <w:r w:rsidR="000605C9">
        <w:rPr>
          <w:rFonts w:ascii="Times New Roman" w:hAnsi="Times New Roman" w:cs="Times New Roman"/>
          <w:b/>
        </w:rPr>
        <w:t>9</w:t>
      </w:r>
      <w:r w:rsidR="00DD6CA2" w:rsidRPr="001F3BBF">
        <w:rPr>
          <w:rFonts w:ascii="Times New Roman" w:hAnsi="Times New Roman" w:cs="Times New Roman"/>
          <w:b/>
        </w:rPr>
        <w:t>.2025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0605C9">
        <w:rPr>
          <w:rFonts w:ascii="Times New Roman" w:hAnsi="Times New Roman" w:cs="Times New Roman"/>
          <w:b/>
        </w:rPr>
        <w:t>0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0605C9">
        <w:rPr>
          <w:rFonts w:ascii="Times New Roman" w:hAnsi="Times New Roman" w:cs="Times New Roman"/>
          <w:b/>
        </w:rPr>
        <w:t>24</w:t>
      </w:r>
      <w:r w:rsidR="00D43EB3" w:rsidRPr="00D43EB3">
        <w:rPr>
          <w:rFonts w:ascii="Times New Roman" w:hAnsi="Times New Roman" w:cs="Times New Roman"/>
          <w:b/>
        </w:rPr>
        <w:t>.0</w:t>
      </w:r>
      <w:r w:rsidR="000605C9">
        <w:rPr>
          <w:rFonts w:ascii="Times New Roman" w:hAnsi="Times New Roman" w:cs="Times New Roman"/>
          <w:b/>
        </w:rPr>
        <w:t>9</w:t>
      </w:r>
      <w:r w:rsidR="00DD6CA2" w:rsidRPr="00D43EB3">
        <w:rPr>
          <w:rFonts w:ascii="Times New Roman" w:hAnsi="Times New Roman" w:cs="Times New Roman"/>
          <w:b/>
        </w:rPr>
        <w:t>.2025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1"/>
    <w:p w14:paraId="04B40A82" w14:textId="0944B6EE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605C9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0605C9">
        <w:rPr>
          <w:rFonts w:ascii="Times New Roman" w:eastAsia="Calibri" w:hAnsi="Times New Roman" w:cs="Times New Roman"/>
        </w:rPr>
        <w:t>отдельными Л</w:t>
      </w:r>
      <w:r w:rsidRPr="000605C9">
        <w:rPr>
          <w:rFonts w:ascii="Times New Roman" w:eastAsia="Calibri" w:hAnsi="Times New Roman" w:cs="Times New Roman"/>
        </w:rPr>
        <w:t>отами</w:t>
      </w:r>
      <w:r w:rsidR="002473B4" w:rsidRPr="000605C9">
        <w:rPr>
          <w:rFonts w:ascii="Times New Roman" w:eastAsia="Calibri" w:hAnsi="Times New Roman" w:cs="Times New Roman"/>
        </w:rPr>
        <w:t xml:space="preserve"> </w:t>
      </w:r>
      <w:r w:rsidR="000605C9" w:rsidRPr="000605C9">
        <w:rPr>
          <w:rFonts w:ascii="Times New Roman" w:eastAsia="Calibri" w:hAnsi="Times New Roman" w:cs="Times New Roman"/>
        </w:rPr>
        <w:t>№№ 1-77 подлежит движимое имущество, в том числе: расходные материалы, гайки, болты и прочее</w:t>
      </w:r>
      <w:r w:rsidR="000605C9">
        <w:rPr>
          <w:rFonts w:ascii="Times New Roman" w:eastAsia="Calibri" w:hAnsi="Times New Roman" w:cs="Times New Roman"/>
        </w:rPr>
        <w:t xml:space="preserve"> </w:t>
      </w:r>
      <w:r w:rsidR="002473B4" w:rsidRPr="000605C9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EB132B8" w14:textId="4BB8CD74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52B081C5" w14:textId="4A3B8734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-268-63-09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0C58E1D6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58DF-31E7-4671-A572-9C426BB9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118</cp:revision>
  <cp:lastPrinted>2024-11-18T08:35:00Z</cp:lastPrinted>
  <dcterms:created xsi:type="dcterms:W3CDTF">2024-07-08T08:36:00Z</dcterms:created>
  <dcterms:modified xsi:type="dcterms:W3CDTF">2025-06-27T12:18:00Z</dcterms:modified>
</cp:coreProperties>
</file>