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BF0CD2"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5E668E">
        <w:rPr>
          <w:b/>
        </w:rPr>
        <w:t xml:space="preserve">а </w:t>
      </w:r>
      <w:r>
        <w:rPr>
          <w:b/>
        </w:rPr>
        <w:t>недвижимости, принадлежащ</w:t>
      </w:r>
      <w:r w:rsidR="005E668E">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03870237" w:rsidR="00283CFC" w:rsidRDefault="003313B7" w:rsidP="00E66803">
      <w:pPr>
        <w:ind w:firstLine="567"/>
        <w:jc w:val="center"/>
        <w:rPr>
          <w:b/>
        </w:rPr>
      </w:pPr>
      <w:r>
        <w:rPr>
          <w:b/>
        </w:rPr>
        <w:t xml:space="preserve">Электронный аукцион будет проводиться </w:t>
      </w:r>
      <w:r w:rsidR="007A144D">
        <w:rPr>
          <w:b/>
          <w:color w:val="0070C0"/>
        </w:rPr>
        <w:t>28</w:t>
      </w:r>
      <w:r w:rsidR="001B32B4">
        <w:rPr>
          <w:b/>
          <w:color w:val="0070C0"/>
        </w:rPr>
        <w:t xml:space="preserve"> </w:t>
      </w:r>
      <w:r w:rsidR="007A144D">
        <w:rPr>
          <w:b/>
          <w:color w:val="0070C0"/>
        </w:rPr>
        <w:t>июля</w:t>
      </w:r>
      <w:r w:rsidR="001B32B4">
        <w:rPr>
          <w:b/>
          <w:color w:val="0070C0"/>
        </w:rPr>
        <w:t xml:space="preserve"> 202</w:t>
      </w:r>
      <w:r w:rsidR="007958B4">
        <w:rPr>
          <w:b/>
          <w:color w:val="0070C0"/>
        </w:rPr>
        <w:t>5</w:t>
      </w:r>
      <w:r w:rsidRPr="008862B6">
        <w:rPr>
          <w:b/>
          <w:color w:val="0070C0"/>
        </w:rPr>
        <w:t xml:space="preserve"> </w:t>
      </w:r>
      <w:r>
        <w:rPr>
          <w:b/>
        </w:rPr>
        <w:t xml:space="preserve">года в </w:t>
      </w:r>
      <w:r w:rsidR="007958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9">
        <w:r>
          <w:rPr>
            <w:b/>
            <w:u w:val="single"/>
          </w:rPr>
          <w:t>www.lot-online.ru</w:t>
        </w:r>
      </w:hyperlink>
      <w:r>
        <w:rPr>
          <w:b/>
        </w:rPr>
        <w:t xml:space="preserve">. </w:t>
      </w:r>
    </w:p>
    <w:p w14:paraId="00000006" w14:textId="0A1EDA9C" w:rsidR="00283CFC" w:rsidRDefault="003313B7">
      <w:pPr>
        <w:ind w:firstLine="709"/>
        <w:jc w:val="center"/>
      </w:pPr>
      <w:r>
        <w:rPr>
          <w:b/>
        </w:rPr>
        <w:t>Организатор торгов –</w:t>
      </w:r>
      <w:r w:rsidR="00963E4B">
        <w:t xml:space="preserve"> </w:t>
      </w:r>
      <w:r>
        <w:t>АО «Российский аукционный дом».</w:t>
      </w:r>
    </w:p>
    <w:p w14:paraId="00000007" w14:textId="24C80077" w:rsidR="00283CFC" w:rsidRDefault="003313B7">
      <w:pPr>
        <w:jc w:val="center"/>
        <w:rPr>
          <w:b/>
        </w:rPr>
      </w:pPr>
      <w:r>
        <w:rPr>
          <w:b/>
        </w:rPr>
        <w:t xml:space="preserve">Прием заявок с </w:t>
      </w:r>
      <w:r w:rsidR="00A6650F">
        <w:rPr>
          <w:b/>
          <w:color w:val="0070C0"/>
        </w:rPr>
        <w:t>24</w:t>
      </w:r>
      <w:r w:rsidR="001B32B4">
        <w:rPr>
          <w:b/>
          <w:color w:val="0070C0"/>
        </w:rPr>
        <w:t xml:space="preserve"> </w:t>
      </w:r>
      <w:r w:rsidR="00964E0A">
        <w:rPr>
          <w:b/>
          <w:color w:val="0070C0"/>
        </w:rPr>
        <w:t>ию</w:t>
      </w:r>
      <w:r w:rsidR="00A6650F">
        <w:rPr>
          <w:b/>
          <w:color w:val="0070C0"/>
        </w:rPr>
        <w:t>ня</w:t>
      </w:r>
      <w:r w:rsidR="00303FE5">
        <w:rPr>
          <w:b/>
          <w:color w:val="0070C0"/>
        </w:rPr>
        <w:t xml:space="preserve"> </w:t>
      </w:r>
      <w:r w:rsidR="002B1293">
        <w:rPr>
          <w:b/>
          <w:color w:val="0070C0"/>
        </w:rPr>
        <w:t>202</w:t>
      </w:r>
      <w:r w:rsidR="00964E0A">
        <w:rPr>
          <w:b/>
          <w:color w:val="0070C0"/>
        </w:rPr>
        <w:t>5</w:t>
      </w:r>
      <w:r w:rsidRPr="008862B6">
        <w:rPr>
          <w:b/>
          <w:color w:val="0070C0"/>
        </w:rPr>
        <w:t xml:space="preserve"> </w:t>
      </w:r>
      <w:r>
        <w:rPr>
          <w:b/>
        </w:rPr>
        <w:t xml:space="preserve">г. </w:t>
      </w:r>
      <w:r w:rsidR="00964E0A">
        <w:rPr>
          <w:b/>
          <w:color w:val="0070C0"/>
        </w:rPr>
        <w:t>09</w:t>
      </w:r>
      <w:r w:rsidRPr="00EB4E8A">
        <w:rPr>
          <w:b/>
          <w:color w:val="0070C0"/>
        </w:rPr>
        <w:t xml:space="preserve">:00 </w:t>
      </w:r>
      <w:r>
        <w:rPr>
          <w:b/>
        </w:rPr>
        <w:t>по</w:t>
      </w:r>
      <w:bookmarkStart w:id="0" w:name="_Hlk75943990"/>
      <w:r w:rsidR="002B0A09">
        <w:rPr>
          <w:b/>
        </w:rPr>
        <w:t xml:space="preserve"> </w:t>
      </w:r>
      <w:r w:rsidR="007A144D">
        <w:rPr>
          <w:b/>
          <w:color w:val="0070C0"/>
        </w:rPr>
        <w:t>24 июля</w:t>
      </w:r>
      <w:r w:rsidR="001B32B4">
        <w:rPr>
          <w:b/>
          <w:color w:val="0070C0"/>
        </w:rPr>
        <w:t xml:space="preserve"> 202</w:t>
      </w:r>
      <w:r w:rsidR="00964E0A">
        <w:rPr>
          <w:b/>
          <w:color w:val="0070C0"/>
        </w:rPr>
        <w:t>5</w:t>
      </w:r>
      <w:r w:rsidRPr="008862B6">
        <w:rPr>
          <w:b/>
          <w:color w:val="0070C0"/>
        </w:rPr>
        <w:t xml:space="preserve"> </w:t>
      </w:r>
      <w:bookmarkEnd w:id="0"/>
      <w:r>
        <w:rPr>
          <w:b/>
        </w:rPr>
        <w:t xml:space="preserve">г. до </w:t>
      </w:r>
      <w:r w:rsidR="00964E0A">
        <w:rPr>
          <w:b/>
          <w:color w:val="0070C0"/>
        </w:rPr>
        <w:t>23</w:t>
      </w:r>
      <w:r w:rsidRPr="00996E61">
        <w:rPr>
          <w:b/>
          <w:color w:val="0070C0"/>
        </w:rPr>
        <w:t>:</w:t>
      </w:r>
      <w:r w:rsidR="00964E0A">
        <w:rPr>
          <w:b/>
          <w:color w:val="0070C0"/>
        </w:rPr>
        <w:t>59</w:t>
      </w:r>
      <w:r>
        <w:rPr>
          <w:b/>
        </w:rPr>
        <w:t>.</w:t>
      </w:r>
    </w:p>
    <w:p w14:paraId="00000008" w14:textId="2A35C4F6"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964E0A">
        <w:rPr>
          <w:b/>
          <w:color w:val="0070C0"/>
        </w:rPr>
        <w:t>23</w:t>
      </w:r>
      <w:r w:rsidRPr="00996E61">
        <w:rPr>
          <w:b/>
          <w:color w:val="0070C0"/>
        </w:rPr>
        <w:t>:</w:t>
      </w:r>
      <w:r w:rsidR="00964E0A">
        <w:rPr>
          <w:b/>
          <w:color w:val="0070C0"/>
        </w:rPr>
        <w:t>59</w:t>
      </w:r>
      <w:r w:rsidRPr="00996E61">
        <w:rPr>
          <w:b/>
          <w:color w:val="0070C0"/>
        </w:rPr>
        <w:t xml:space="preserve"> </w:t>
      </w:r>
      <w:r w:rsidR="007A144D">
        <w:rPr>
          <w:b/>
          <w:color w:val="0070C0"/>
        </w:rPr>
        <w:t>24</w:t>
      </w:r>
      <w:r w:rsidR="001B32B4">
        <w:rPr>
          <w:b/>
          <w:color w:val="0070C0"/>
        </w:rPr>
        <w:t xml:space="preserve"> </w:t>
      </w:r>
      <w:r w:rsidR="007A144D">
        <w:rPr>
          <w:b/>
          <w:color w:val="0070C0"/>
        </w:rPr>
        <w:t>июля</w:t>
      </w:r>
      <w:r w:rsidR="001B32B4">
        <w:rPr>
          <w:b/>
          <w:color w:val="0070C0"/>
        </w:rPr>
        <w:t xml:space="preserve"> 202</w:t>
      </w:r>
      <w:r w:rsidR="00964E0A">
        <w:rPr>
          <w:b/>
          <w:color w:val="0070C0"/>
        </w:rPr>
        <w:t>5</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4C867096"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A444A4" w:rsidRPr="00E66803">
        <w:rPr>
          <w:b/>
          <w:color w:val="0070C0"/>
        </w:rPr>
        <w:t xml:space="preserve"> </w:t>
      </w:r>
      <w:r w:rsidR="007A144D">
        <w:rPr>
          <w:b/>
          <w:color w:val="0070C0"/>
        </w:rPr>
        <w:t>25</w:t>
      </w:r>
      <w:r w:rsidR="001B32B4">
        <w:rPr>
          <w:b/>
          <w:color w:val="0070C0"/>
        </w:rPr>
        <w:t xml:space="preserve"> </w:t>
      </w:r>
      <w:r w:rsidR="007A144D">
        <w:rPr>
          <w:b/>
          <w:color w:val="0070C0"/>
        </w:rPr>
        <w:t>июля</w:t>
      </w:r>
      <w:r w:rsidR="001B32B4">
        <w:rPr>
          <w:b/>
          <w:color w:val="0070C0"/>
        </w:rPr>
        <w:t xml:space="preserve"> 202</w:t>
      </w:r>
      <w:r w:rsidR="007958B4">
        <w:rPr>
          <w:b/>
          <w:color w:val="0070C0"/>
        </w:rPr>
        <w:t>5</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739D94C1"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в рабочие дни по тел. </w:t>
      </w:r>
      <w:r>
        <w:rPr>
          <w:color w:val="000000"/>
        </w:rPr>
        <w:t>+7 (</w:t>
      </w:r>
      <w:r w:rsidR="00963E4B">
        <w:rPr>
          <w:color w:val="000000"/>
        </w:rPr>
        <w:t>967) 246-44-26</w:t>
      </w:r>
      <w:r>
        <w:rPr>
          <w:color w:val="000000"/>
        </w:rPr>
        <w:t xml:space="preserve">, </w:t>
      </w:r>
      <w:r>
        <w:t>8 (812) 777-57-57, доб 516</w:t>
      </w:r>
      <w:r w:rsidRPr="00DE7CB9">
        <w:t xml:space="preserve">. Контактное лицо </w:t>
      </w:r>
      <w:r w:rsidR="00963E4B">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00000010" w14:textId="0CCC4DFE" w:rsidR="00283CFC" w:rsidRPr="00D30FAE" w:rsidRDefault="003313B7">
      <w:pPr>
        <w:ind w:firstLine="720"/>
        <w:jc w:val="both"/>
        <w:rPr>
          <w:b/>
          <w:color w:val="0070C0"/>
        </w:rPr>
      </w:pPr>
      <w:r w:rsidRPr="00D30FAE">
        <w:rPr>
          <w:b/>
          <w:color w:val="0070C0"/>
        </w:rPr>
        <w:t>Лот №1:</w:t>
      </w:r>
    </w:p>
    <w:p w14:paraId="1C19C5EA" w14:textId="034F5237" w:rsidR="00963E4B" w:rsidRPr="00963E4B" w:rsidRDefault="00963E4B" w:rsidP="00963E4B">
      <w:pPr>
        <w:ind w:firstLine="709"/>
        <w:jc w:val="both"/>
        <w:rPr>
          <w:bCs/>
        </w:rPr>
      </w:pPr>
      <w:r>
        <w:rPr>
          <w:bCs/>
        </w:rPr>
        <w:t>- Н</w:t>
      </w:r>
      <w:r w:rsidRPr="00963E4B">
        <w:rPr>
          <w:bCs/>
        </w:rPr>
        <w:t>ежилое здание, расположенное по адресу: Сахалинская область, г. Южно-Сахалинск, ул. Амурская, 61, площадью 1588 кв. м, с кадастровым номером 65:01:0703004:105, этажность: три, в т.ч. подземный один, принадлежащее Доверителю на праве собственности, что подтверждается записью регистрации в Едином государственном реестре недвижимости № 65-01-22/2001-150 от «14» сентября 2001 года;</w:t>
      </w:r>
    </w:p>
    <w:p w14:paraId="23CA59E8" w14:textId="5E2F6DA0" w:rsidR="00963E4B" w:rsidRPr="00963E4B" w:rsidRDefault="00963E4B" w:rsidP="00963E4B">
      <w:pPr>
        <w:ind w:firstLine="709"/>
        <w:jc w:val="both"/>
        <w:rPr>
          <w:bCs/>
        </w:rPr>
      </w:pPr>
      <w:r>
        <w:rPr>
          <w:bCs/>
        </w:rPr>
        <w:t>- Н</w:t>
      </w:r>
      <w:r w:rsidRPr="00963E4B">
        <w:rPr>
          <w:bCs/>
        </w:rPr>
        <w:t>ежилое здание – гараж, расположенное по адресу: Сахалинская область, г. Южно-Сахалинск, ул. Амурская, 61, площадью 75,8 кв. м, с кадастровым номером 65:01:0703004:283, этажность: один, принадлежащее Доверителю на праве собственности, что подтверждается записью регистрации в Едином государственном реестре недвижимости № 65:01:0703004:283-65/003/2018-1от «17» июня 2018 года;</w:t>
      </w:r>
    </w:p>
    <w:p w14:paraId="5DB175D8" w14:textId="3BD6C323" w:rsidR="00963E4B" w:rsidRDefault="00963E4B" w:rsidP="00963E4B">
      <w:pPr>
        <w:ind w:firstLine="709"/>
        <w:jc w:val="both"/>
        <w:rPr>
          <w:bCs/>
        </w:rPr>
      </w:pPr>
      <w:r>
        <w:rPr>
          <w:bCs/>
        </w:rPr>
        <w:t xml:space="preserve">- </w:t>
      </w:r>
      <w:r w:rsidRPr="00963E4B">
        <w:rPr>
          <w:bCs/>
        </w:rPr>
        <w:t>Земельный участок, расположенный по адресу: местоположение установлено относительно ориентира, расположенного в границах участка. Почтовый адрес ориентира Сахалинская область, г. Южно-Сахалинск, ул. Амурская, 61, площадью 1 426 кв. м, кадастровый номер 65:01:0703004:69, категория земель: земли населенных пунктов, разрешенное использование: здание банка, принадлежащий Доверителю на праве собственности, что подтверждается записью регистрации в Едином государственном реестре недвижимости № 65:01:0703004:69-65/002/2017-2 от «19» января 2017 года.</w:t>
      </w:r>
    </w:p>
    <w:p w14:paraId="67044A9C" w14:textId="3908E25E" w:rsidR="00D30FAE" w:rsidRDefault="00D30FAE" w:rsidP="00B11676">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r w:rsidR="003A5D32">
        <w:rPr>
          <w:bCs/>
        </w:rPr>
        <w:t xml:space="preserve"> </w:t>
      </w:r>
    </w:p>
    <w:p w14:paraId="673DAC9B" w14:textId="77777777" w:rsidR="00963E4B" w:rsidRPr="00D30FAE" w:rsidRDefault="00963E4B" w:rsidP="00B11676">
      <w:pPr>
        <w:ind w:firstLine="709"/>
        <w:jc w:val="both"/>
        <w:rPr>
          <w:bCs/>
        </w:rPr>
      </w:pPr>
    </w:p>
    <w:p w14:paraId="5F589C73" w14:textId="472E6519" w:rsidR="00D30FAE" w:rsidRDefault="005E668E" w:rsidP="00B11676">
      <w:pPr>
        <w:ind w:firstLine="709"/>
        <w:jc w:val="both"/>
      </w:pPr>
      <w:r w:rsidRPr="00EB3FA1">
        <w:rPr>
          <w:b/>
          <w:bCs/>
        </w:rPr>
        <w:t>ВАЖНО:</w:t>
      </w:r>
      <w:r>
        <w:t xml:space="preserve"> </w:t>
      </w:r>
      <w:r w:rsidR="003A5D32" w:rsidRPr="003A5D32">
        <w:t xml:space="preserve">Обязательным условием реализации является </w:t>
      </w:r>
      <w:r w:rsidR="003A5D32" w:rsidRPr="003A5D32">
        <w:rPr>
          <w:b/>
          <w:bCs/>
        </w:rPr>
        <w:t>заключение договора аренды с Продавцом (Банком)</w:t>
      </w:r>
      <w:r w:rsidR="003A5D32">
        <w:t xml:space="preserve"> </w:t>
      </w:r>
      <w:r w:rsidR="003A5D32" w:rsidRPr="003A5D32">
        <w:t>на часть помещений:</w:t>
      </w:r>
    </w:p>
    <w:p w14:paraId="369F5623" w14:textId="77777777" w:rsidR="00963E4B" w:rsidRDefault="00963E4B" w:rsidP="00963E4B">
      <w:pPr>
        <w:ind w:firstLine="567"/>
        <w:jc w:val="both"/>
      </w:pPr>
      <w:r>
        <w:t>Параметры последующей аренды Заказчиком части Объекта после его продажи:</w:t>
      </w:r>
    </w:p>
    <w:p w14:paraId="19B83D88" w14:textId="4BC26A31" w:rsidR="00963E4B" w:rsidRDefault="00963E4B" w:rsidP="00963E4B">
      <w:pPr>
        <w:ind w:firstLine="567"/>
        <w:jc w:val="both"/>
      </w:pPr>
      <w:r>
        <w:t xml:space="preserve">- площадь обратной аренды – 390,8 кв. м., в том числе на 1 этаже – 352,3 кв. м., на 2 этаже – 38,5 кв. м. (схема помещений </w:t>
      </w:r>
      <w:r w:rsidR="005B02F6">
        <w:t>указана в Приложении 3</w:t>
      </w:r>
      <w:r>
        <w:t>);</w:t>
      </w:r>
    </w:p>
    <w:p w14:paraId="4C1D4274" w14:textId="77777777" w:rsidR="00963E4B" w:rsidRDefault="00963E4B" w:rsidP="00963E4B">
      <w:pPr>
        <w:ind w:firstLine="567"/>
        <w:jc w:val="both"/>
      </w:pPr>
      <w:r>
        <w:t xml:space="preserve">- ставка обратной аренды составляет (рублей за 1 кв. м. в год, включая НДС): 18 492,0 руб. за 1 этаж, 16 642,80 руб. за 2 этаж. Ставка аренды включает в себя платежи за пользование </w:t>
      </w:r>
      <w:r>
        <w:lastRenderedPageBreak/>
        <w:t>помещением и земельным участком, в том числе плату за услуги по эксплуатации и техническому обслуживанию систем жизнеобеспечения Объекта согласно акту разграничения эксплуатационной ответственности, пользование местами общего пользования (коридоры, лестницы, тамбур), уборку прилегающей территории, вывоз и уборку снега, плату за размещение фасадной вывески;</w:t>
      </w:r>
    </w:p>
    <w:p w14:paraId="198B30E3" w14:textId="77777777" w:rsidR="00963E4B" w:rsidRDefault="00963E4B" w:rsidP="00963E4B">
      <w:pPr>
        <w:ind w:firstLine="567"/>
        <w:jc w:val="both"/>
      </w:pPr>
      <w:r>
        <w:t>-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14:paraId="0BDF38A7" w14:textId="77777777" w:rsidR="00963E4B" w:rsidRDefault="00963E4B" w:rsidP="00963E4B">
      <w:pPr>
        <w:ind w:firstLine="567"/>
        <w:jc w:val="both"/>
      </w:pPr>
      <w:r>
        <w:t>- 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0D8D1D63" w14:textId="77777777" w:rsidR="00963E4B" w:rsidRDefault="00963E4B" w:rsidP="00963E4B">
      <w:pPr>
        <w:ind w:firstLine="567"/>
        <w:jc w:val="both"/>
      </w:pPr>
      <w:r>
        <w:t>- срок аренды – не менее 10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14:paraId="79AD13B6" w14:textId="77777777" w:rsidR="00963E4B" w:rsidRDefault="00963E4B" w:rsidP="00963E4B">
      <w:pPr>
        <w:ind w:firstLine="567"/>
        <w:jc w:val="both"/>
      </w:pPr>
      <w:r>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Сахалинской области www.gks.ru, но не более чем на 5 (пять)%;</w:t>
      </w:r>
    </w:p>
    <w:p w14:paraId="7FDA2885" w14:textId="77777777" w:rsidR="00963E4B" w:rsidRDefault="00963E4B" w:rsidP="00963E4B">
      <w:pPr>
        <w:ind w:firstLine="567"/>
        <w:jc w:val="both"/>
      </w:pPr>
      <w:r>
        <w:t>- Арендодатель не вправе в одностороннем внесудебном порядке отказаться от Договора (исполнения Договора) и досрочно расторгнуть его при отсутствии нарушений со стороны Арендатора;</w:t>
      </w:r>
    </w:p>
    <w:p w14:paraId="721AFD5B" w14:textId="6F517CCF" w:rsidR="002B1293" w:rsidRDefault="00963E4B" w:rsidP="00963E4B">
      <w:pPr>
        <w:ind w:firstLine="567"/>
        <w:jc w:val="both"/>
      </w:pPr>
      <w:r>
        <w:t>- отлагательные условия по подписанию Акта приема передачи Объекта – не позднее 01.01.2027.</w:t>
      </w:r>
    </w:p>
    <w:p w14:paraId="66604FFF" w14:textId="77777777" w:rsidR="00A6650F" w:rsidRPr="00A6650F" w:rsidRDefault="00A6650F" w:rsidP="00A6650F">
      <w:pPr>
        <w:ind w:firstLine="720"/>
        <w:jc w:val="both"/>
        <w:rPr>
          <w:bCs/>
        </w:rPr>
      </w:pPr>
      <w:r w:rsidRPr="00A6650F">
        <w:rPr>
          <w:bCs/>
        </w:rPr>
        <w:t>Передача Объекта по договору производится в срок не позднее 01.01.2027, но не ранее поступления на счет Банка в полном объеме денежных средств в оплату стоимости Объекта.</w:t>
      </w:r>
    </w:p>
    <w:p w14:paraId="422B515B" w14:textId="77777777" w:rsidR="00963E4B" w:rsidRDefault="00963E4B" w:rsidP="00D30FAE">
      <w:pPr>
        <w:ind w:firstLine="567"/>
        <w:jc w:val="both"/>
      </w:pPr>
    </w:p>
    <w:p w14:paraId="1C938B8B" w14:textId="219AB246" w:rsidR="00D30FAE" w:rsidRPr="00D30FAE" w:rsidRDefault="00D30FAE" w:rsidP="00D30FAE">
      <w:r>
        <w:rPr>
          <w:b/>
          <w:bCs/>
        </w:rPr>
        <w:t xml:space="preserve">Начальная цена: </w:t>
      </w:r>
      <w:r w:rsidR="00963E4B" w:rsidRPr="00963E4B">
        <w:rPr>
          <w:b/>
          <w:bCs/>
          <w:color w:val="4F81BD" w:themeColor="accent1"/>
        </w:rPr>
        <w:t>193 096 174</w:t>
      </w:r>
      <w:r w:rsidRPr="00963E4B">
        <w:rPr>
          <w:b/>
          <w:bCs/>
          <w:color w:val="4F81BD" w:themeColor="accent1"/>
        </w:rPr>
        <w:t xml:space="preserve"> </w:t>
      </w:r>
      <w:r w:rsidRPr="00D30FAE">
        <w:t>(</w:t>
      </w:r>
      <w:r w:rsidR="00963E4B" w:rsidRPr="00963E4B">
        <w:t>сто девяносто три миллиона девяносто шесть тысяч сто семьдесят четыре</w:t>
      </w:r>
      <w:r w:rsidRPr="00D30FAE">
        <w:t>)</w:t>
      </w:r>
      <w:r w:rsidRPr="00D30FAE">
        <w:rPr>
          <w:b/>
          <w:bCs/>
        </w:rPr>
        <w:t xml:space="preserve"> </w:t>
      </w:r>
      <w:r w:rsidRPr="00963E4B">
        <w:rPr>
          <w:b/>
          <w:bCs/>
          <w:color w:val="4F81BD" w:themeColor="accent1"/>
        </w:rPr>
        <w:t>руб. 00 коп</w:t>
      </w:r>
      <w:r>
        <w:rPr>
          <w:b/>
          <w:bCs/>
          <w:color w:val="0070C0"/>
        </w:rPr>
        <w:t xml:space="preserve">, </w:t>
      </w:r>
      <w:r w:rsidR="00963E4B">
        <w:t>с учетом</w:t>
      </w:r>
      <w:r w:rsidRPr="00D30FAE">
        <w:t xml:space="preserve"> НДС</w:t>
      </w:r>
      <w:r>
        <w:t xml:space="preserve"> 20%</w:t>
      </w:r>
      <w:r w:rsidRPr="00D30FAE">
        <w:t xml:space="preserve">. </w:t>
      </w:r>
    </w:p>
    <w:p w14:paraId="635D0612" w14:textId="547B9101" w:rsidR="00D30FAE" w:rsidRPr="00A5728B" w:rsidRDefault="00D30FAE" w:rsidP="00D30FAE">
      <w:pPr>
        <w:rPr>
          <w:b/>
          <w:bCs/>
        </w:rPr>
      </w:pPr>
      <w:r>
        <w:rPr>
          <w:b/>
          <w:bCs/>
        </w:rPr>
        <w:t>Сумма</w:t>
      </w:r>
      <w:r w:rsidRPr="00A5728B">
        <w:rPr>
          <w:b/>
          <w:bCs/>
        </w:rPr>
        <w:t xml:space="preserve"> </w:t>
      </w:r>
      <w:r>
        <w:rPr>
          <w:b/>
          <w:bCs/>
        </w:rPr>
        <w:t>задатка</w:t>
      </w:r>
      <w:r w:rsidRPr="00A5728B">
        <w:rPr>
          <w:b/>
          <w:bCs/>
        </w:rPr>
        <w:t xml:space="preserve">: </w:t>
      </w:r>
      <w:r w:rsidR="00963E4B" w:rsidRPr="00963E4B">
        <w:rPr>
          <w:rStyle w:val="af8"/>
        </w:rPr>
        <w:t xml:space="preserve">3 861 923 </w:t>
      </w:r>
      <w:r w:rsidR="00963E4B" w:rsidRPr="00963E4B">
        <w:t xml:space="preserve">(три миллиона восемьсот шестьдесят одна тысяча девятьсот двадцать три) </w:t>
      </w:r>
      <w:r w:rsidR="00963E4B" w:rsidRPr="00963E4B">
        <w:rPr>
          <w:b/>
          <w:bCs/>
          <w:color w:val="4F81BD" w:themeColor="accent1"/>
        </w:rPr>
        <w:t>руб. 00 копеек.</w:t>
      </w:r>
    </w:p>
    <w:p w14:paraId="02BED1AF" w14:textId="2376ADBB" w:rsidR="00D30FAE" w:rsidRPr="00963E4B" w:rsidRDefault="00D30FAE" w:rsidP="00D30FAE">
      <w:pPr>
        <w:rPr>
          <w:b/>
          <w:bCs/>
          <w:color w:val="0070C0"/>
        </w:rPr>
      </w:pPr>
      <w:r>
        <w:rPr>
          <w:b/>
          <w:bCs/>
        </w:rPr>
        <w:t xml:space="preserve">Шаг аукциона на повышение: </w:t>
      </w:r>
      <w:r w:rsidR="00963E4B" w:rsidRPr="00963E4B">
        <w:rPr>
          <w:b/>
          <w:bCs/>
          <w:color w:val="4F81BD" w:themeColor="accent1"/>
        </w:rPr>
        <w:t>1 930 962</w:t>
      </w:r>
      <w:r w:rsidR="00963E4B" w:rsidRPr="00963E4B">
        <w:rPr>
          <w:color w:val="4F81BD" w:themeColor="accent1"/>
        </w:rPr>
        <w:t xml:space="preserve"> </w:t>
      </w:r>
      <w:r w:rsidR="00963E4B" w:rsidRPr="00963E4B">
        <w:t xml:space="preserve">(один миллион девятьсот тридцать тысяч девятьсот шестьдесят два) </w:t>
      </w:r>
      <w:r w:rsidR="00963E4B" w:rsidRPr="00963E4B">
        <w:rPr>
          <w:b/>
          <w:bCs/>
          <w:color w:val="4F81BD" w:themeColor="accent1"/>
        </w:rPr>
        <w:t>руб. 00 копеек.</w:t>
      </w:r>
    </w:p>
    <w:p w14:paraId="012E1EEF" w14:textId="61656354" w:rsidR="004828B9" w:rsidRDefault="004828B9" w:rsidP="00D30FAE">
      <w:pPr>
        <w:rPr>
          <w:b/>
          <w:bCs/>
          <w:color w:val="0070C0"/>
        </w:rPr>
      </w:pPr>
    </w:p>
    <w:p w14:paraId="4ED9A272" w14:textId="0E39CE20" w:rsidR="00964E0A" w:rsidRDefault="00964E0A" w:rsidP="00964E0A">
      <w:pPr>
        <w:ind w:firstLine="540"/>
        <w:jc w:val="both"/>
        <w:rPr>
          <w:lang w:eastAsia="en-US"/>
        </w:rPr>
      </w:pPr>
      <w:r w:rsidRPr="007A1616">
        <w:rPr>
          <w:lang w:eastAsia="en-US"/>
        </w:rPr>
        <w:t>Стоимость имущества включает:</w:t>
      </w:r>
    </w:p>
    <w:p w14:paraId="46C01534" w14:textId="77777777" w:rsidR="00964E0A" w:rsidRPr="00964E0A" w:rsidRDefault="00964E0A" w:rsidP="00964E0A">
      <w:pPr>
        <w:ind w:firstLine="540"/>
        <w:jc w:val="both"/>
        <w:rPr>
          <w:lang w:eastAsia="en-US"/>
        </w:rPr>
      </w:pPr>
      <w:r w:rsidRPr="00964E0A">
        <w:rPr>
          <w:lang w:eastAsia="en-US"/>
        </w:rPr>
        <w:t>- стоимость недвижимого имущества, за исключением земельного участка, в размере 131 913 333 (сто тридцать один миллион девятьсот тринадцать тысяч триста тридцать три) рубля 33 копейки, кроме того НДС (20 %) 26 382 666 (двадцать шесть миллионов триста восемьдесят две тысячи шестьсот шестьдесят шесть) рублей 67 копеек, всего с учетом НДС 158 296 000 (сто пятьдесят восемь миллионов двести девяносто шесть тысяч) рублей 00 копеек;</w:t>
      </w:r>
    </w:p>
    <w:p w14:paraId="51FA3AB7" w14:textId="77777777" w:rsidR="00964E0A" w:rsidRPr="00964E0A" w:rsidRDefault="00964E0A" w:rsidP="00964E0A">
      <w:pPr>
        <w:ind w:firstLine="540"/>
        <w:jc w:val="both"/>
        <w:rPr>
          <w:lang w:eastAsia="en-US"/>
        </w:rPr>
      </w:pPr>
      <w:r w:rsidRPr="00964E0A">
        <w:rPr>
          <w:lang w:eastAsia="en-US"/>
        </w:rPr>
        <w:t>- стоимость недвижимого имущества - гаража, за исключением земельного участка, в размере 3 333 333 (три миллиона триста тридцать три тысячи триста тридцать три) рубля 33 копейки, кроме того НДС (20 %) 666 666 (шестьсот шестьдесят шесть тысяч шестьсот шестьдесят шесть) рублей 67 копеек, всего с учетом НДС 4 000 000 (четыре миллиона) рублей 00 копеек;</w:t>
      </w:r>
    </w:p>
    <w:p w14:paraId="133F4847" w14:textId="07AB5B9F" w:rsidR="00964E0A" w:rsidRPr="00964E0A" w:rsidRDefault="00964E0A" w:rsidP="00964E0A">
      <w:pPr>
        <w:ind w:firstLine="540"/>
        <w:jc w:val="both"/>
        <w:rPr>
          <w:lang w:eastAsia="en-US"/>
        </w:rPr>
      </w:pPr>
      <w:r w:rsidRPr="00964E0A">
        <w:rPr>
          <w:lang w:eastAsia="en-US"/>
        </w:rPr>
        <w:t>- стоимость земельного участка в размере 30 800 174 (тридцать миллионов восемьсот тысяч сто семьдесят четыре) рубля 00 копеек. НДС не облагается согласно подпункта 6 пункта 2 статьи 146 НК РФ.</w:t>
      </w:r>
    </w:p>
    <w:p w14:paraId="3E0BFCF9" w14:textId="77777777" w:rsidR="00964E0A" w:rsidRPr="00964E0A" w:rsidRDefault="00964E0A" w:rsidP="00D30FAE">
      <w:pPr>
        <w:rPr>
          <w:color w:val="0070C0"/>
        </w:rPr>
      </w:pPr>
    </w:p>
    <w:p w14:paraId="0000002C" w14:textId="73FBB462" w:rsidR="00283CFC" w:rsidRDefault="00964E0A">
      <w:pPr>
        <w:tabs>
          <w:tab w:val="left" w:pos="851"/>
        </w:tabs>
        <w:ind w:right="-57"/>
        <w:jc w:val="both"/>
      </w:pPr>
      <w:r>
        <w:tab/>
      </w:r>
      <w:r w:rsidRPr="00964E0A">
        <w:t xml:space="preserve">Совместно с Объектом передается объект некапитального строения, расположенный на продаваемом земельном участке площадью 1426 кв. м, не зарегистрированный в Управлении Федеральной службы государственной регистрации, кадастра и картографии, общей площадью </w:t>
      </w:r>
      <w:r w:rsidRPr="00964E0A">
        <w:lastRenderedPageBreak/>
        <w:t>158,7 кв. м без дополнительной оплаты и без оформления документов на переход права собственности, в связи с отсутствием документов, подтверждающих право собственности.</w:t>
      </w:r>
    </w:p>
    <w:p w14:paraId="3C8E277D" w14:textId="77777777" w:rsidR="00964E0A" w:rsidRPr="00964E0A" w:rsidRDefault="00964E0A">
      <w:pPr>
        <w:tabs>
          <w:tab w:val="left" w:pos="851"/>
        </w:tabs>
        <w:ind w:right="-57"/>
        <w:jc w:val="both"/>
      </w:pPr>
    </w:p>
    <w:p w14:paraId="622F2DBD" w14:textId="46FA9A41" w:rsidR="005D2C92" w:rsidRDefault="003313B7" w:rsidP="005D2C92">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1" w:history="1">
        <w:r w:rsidRPr="004214BA">
          <w:t>www.lot-online.ru</w:t>
        </w:r>
      </w:hyperlink>
      <w:r w:rsidRPr="004214BA">
        <w:t xml:space="preserve"> (</w:t>
      </w:r>
      <w:hyperlink r:id="rId12" w:history="1">
        <w:r w:rsidRPr="004214BA">
          <w:rPr>
            <w:rStyle w:val="af2"/>
          </w:rPr>
          <w:t>https://catalog.lot-online.ru/images/docs/regulations/reglament_prod.pdf?_t=1666941793</w:t>
        </w:r>
      </w:hyperlink>
      <w:r w:rsidRPr="004214BA">
        <w:t>).</w:t>
      </w:r>
    </w:p>
    <w:p w14:paraId="2DBE5ED4" w14:textId="77777777" w:rsidR="00963E4B" w:rsidRPr="004214BA" w:rsidRDefault="00963E4B"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3">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lastRenderedPageBreak/>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CD5DE3F"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lastRenderedPageBreak/>
        <w:t xml:space="preserve">Задаток должен поступить на указанный счет Оператора электронной площадки </w:t>
      </w:r>
      <w:r w:rsidRPr="00964E0A">
        <w:rPr>
          <w:rFonts w:ascii="Times New Roman" w:hAnsi="Times New Roman" w:cs="Times New Roman"/>
          <w:b/>
          <w:bCs/>
          <w:color w:val="auto"/>
          <w:u w:val="single"/>
        </w:rPr>
        <w:t xml:space="preserve">не позднее </w:t>
      </w:r>
      <w:r w:rsidR="007A144D">
        <w:rPr>
          <w:rFonts w:ascii="Times New Roman" w:hAnsi="Times New Roman" w:cs="Times New Roman"/>
          <w:b/>
          <w:bCs/>
          <w:color w:val="4472C4"/>
          <w:u w:val="single"/>
        </w:rPr>
        <w:t>24</w:t>
      </w:r>
      <w:r w:rsidR="007958B4">
        <w:rPr>
          <w:rFonts w:ascii="Times New Roman" w:hAnsi="Times New Roman" w:cs="Times New Roman"/>
          <w:b/>
          <w:bCs/>
          <w:color w:val="4472C4"/>
          <w:u w:val="single"/>
        </w:rPr>
        <w:t xml:space="preserve"> </w:t>
      </w:r>
      <w:r w:rsidR="007A144D">
        <w:rPr>
          <w:rFonts w:ascii="Times New Roman" w:hAnsi="Times New Roman" w:cs="Times New Roman"/>
          <w:b/>
          <w:bCs/>
          <w:color w:val="4472C4"/>
          <w:u w:val="single"/>
        </w:rPr>
        <w:t>июлоя</w:t>
      </w:r>
      <w:r w:rsidR="001B32B4" w:rsidRPr="00964E0A">
        <w:rPr>
          <w:rFonts w:ascii="Times New Roman" w:hAnsi="Times New Roman" w:cs="Times New Roman"/>
          <w:b/>
          <w:bCs/>
          <w:color w:val="4472C4"/>
          <w:u w:val="single"/>
        </w:rPr>
        <w:t xml:space="preserve"> 202</w:t>
      </w:r>
      <w:r w:rsidR="007958B4">
        <w:rPr>
          <w:rFonts w:ascii="Times New Roman" w:hAnsi="Times New Roman" w:cs="Times New Roman"/>
          <w:b/>
          <w:bCs/>
          <w:color w:val="4472C4"/>
          <w:u w:val="single"/>
        </w:rPr>
        <w:t>5</w:t>
      </w:r>
      <w:r w:rsidRPr="00964E0A">
        <w:rPr>
          <w:rFonts w:ascii="Times New Roman" w:hAnsi="Times New Roman" w:cs="Times New Roman"/>
          <w:b/>
          <w:bCs/>
          <w:color w:val="4472C4"/>
          <w:u w:val="single"/>
        </w:rPr>
        <w:t xml:space="preserve"> г. до </w:t>
      </w:r>
      <w:r w:rsidR="007958B4">
        <w:rPr>
          <w:rFonts w:ascii="Times New Roman" w:hAnsi="Times New Roman" w:cs="Times New Roman"/>
          <w:b/>
          <w:bCs/>
          <w:color w:val="4472C4"/>
          <w:u w:val="single"/>
        </w:rPr>
        <w:t>23:59</w:t>
      </w:r>
      <w:r w:rsidRPr="00964E0A">
        <w:rPr>
          <w:rFonts w:ascii="Times New Roman" w:hAnsi="Times New Roman" w:cs="Times New Roman"/>
          <w:b/>
          <w:bCs/>
          <w:color w:val="auto"/>
          <w:u w:val="single"/>
        </w:rPr>
        <w:t xml:space="preserve"> МСК</w:t>
      </w:r>
      <w:r w:rsidRPr="00964E0A">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964E0A" w:rsidRDefault="000F4E9D" w:rsidP="000F4E9D">
      <w:pPr>
        <w:ind w:right="72" w:firstLine="567"/>
        <w:jc w:val="both"/>
      </w:pPr>
      <w:r w:rsidRPr="00964E0A">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964E0A">
          <w:rPr>
            <w:color w:val="0000FF"/>
            <w:u w:val="single"/>
            <w:lang w:val="en-US"/>
          </w:rPr>
          <w:t>www</w:t>
        </w:r>
        <w:r w:rsidRPr="00964E0A">
          <w:rPr>
            <w:color w:val="0000FF"/>
            <w:u w:val="single"/>
          </w:rPr>
          <w:t>.</w:t>
        </w:r>
        <w:r w:rsidRPr="00964E0A">
          <w:rPr>
            <w:color w:val="0000FF"/>
            <w:u w:val="single"/>
            <w:lang w:val="en-US"/>
          </w:rPr>
          <w:t>lot</w:t>
        </w:r>
        <w:r w:rsidRPr="00964E0A">
          <w:rPr>
            <w:color w:val="0000FF"/>
            <w:u w:val="single"/>
          </w:rPr>
          <w:t>-</w:t>
        </w:r>
        <w:r w:rsidRPr="00964E0A">
          <w:rPr>
            <w:color w:val="0000FF"/>
            <w:u w:val="single"/>
            <w:lang w:val="en-US"/>
          </w:rPr>
          <w:t>online</w:t>
        </w:r>
        <w:r w:rsidRPr="00964E0A">
          <w:rPr>
            <w:color w:val="0000FF"/>
            <w:u w:val="single"/>
          </w:rPr>
          <w:t>.</w:t>
        </w:r>
        <w:r w:rsidRPr="00964E0A">
          <w:rPr>
            <w:color w:val="0000FF"/>
            <w:u w:val="single"/>
            <w:lang w:val="en-US"/>
          </w:rPr>
          <w:t>ru</w:t>
        </w:r>
      </w:hyperlink>
      <w:r w:rsidRPr="00964E0A">
        <w:t xml:space="preserve"> в разделе «карточка лота». </w:t>
      </w:r>
    </w:p>
    <w:p w14:paraId="5E9F881C" w14:textId="77777777" w:rsidR="000F4E9D" w:rsidRPr="00964E0A" w:rsidRDefault="000F4E9D" w:rsidP="000F4E9D">
      <w:pPr>
        <w:ind w:right="72" w:firstLine="567"/>
        <w:jc w:val="both"/>
      </w:pPr>
      <w:r w:rsidRPr="00964E0A">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964E0A" w:rsidRDefault="000F4E9D" w:rsidP="000F4E9D">
      <w:pPr>
        <w:ind w:firstLine="567"/>
        <w:jc w:val="both"/>
      </w:pPr>
      <w:r w:rsidRPr="00964E0A">
        <w:t>Задаток перечисляется непосредственно стороной по договору о задатке (договору присоединения).</w:t>
      </w:r>
    </w:p>
    <w:p w14:paraId="034BA1C8" w14:textId="77777777" w:rsidR="000F4E9D" w:rsidRPr="00964E0A" w:rsidRDefault="000F4E9D" w:rsidP="000F4E9D">
      <w:pPr>
        <w:ind w:firstLine="567"/>
        <w:jc w:val="both"/>
      </w:pPr>
      <w:r w:rsidRPr="00964E0A">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964E0A" w:rsidRDefault="000F4E9D" w:rsidP="000F4E9D">
      <w:pPr>
        <w:ind w:firstLine="567"/>
        <w:jc w:val="both"/>
      </w:pPr>
      <w:r w:rsidRPr="00964E0A">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E7675" w:rsidR="000F4E9D" w:rsidRDefault="000F4E9D" w:rsidP="000F4E9D">
      <w:pPr>
        <w:ind w:firstLine="567"/>
        <w:jc w:val="both"/>
      </w:pPr>
      <w:r w:rsidRPr="00964E0A">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964E0A">
        <w:t>(</w:t>
      </w:r>
      <w:hyperlink r:id="rId15" w:history="1">
        <w:r w:rsidR="005E668E" w:rsidRPr="00964E0A">
          <w:rPr>
            <w:rStyle w:val="af2"/>
          </w:rPr>
          <w:t>https://catalog.lot-online.ru/images/docs/regulations/reglament_zadatok_bkr.pdf?_t=1658847783</w:t>
        </w:r>
      </w:hyperlink>
      <w:r w:rsidR="005E668E" w:rsidRPr="00964E0A">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3455F8B7"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A6650F">
        <w:rPr>
          <w:b/>
          <w:color w:val="0070C0"/>
          <w:u w:val="single"/>
        </w:rPr>
        <w:t>24</w:t>
      </w:r>
      <w:r w:rsidR="001B32B4">
        <w:rPr>
          <w:b/>
          <w:color w:val="0070C0"/>
          <w:u w:val="single"/>
        </w:rPr>
        <w:t xml:space="preserve"> </w:t>
      </w:r>
      <w:r w:rsidR="007958B4">
        <w:rPr>
          <w:b/>
          <w:color w:val="0070C0"/>
          <w:u w:val="single"/>
        </w:rPr>
        <w:t>ию</w:t>
      </w:r>
      <w:r w:rsidR="00A6650F">
        <w:rPr>
          <w:b/>
          <w:color w:val="0070C0"/>
          <w:u w:val="single"/>
        </w:rPr>
        <w:t>ня</w:t>
      </w:r>
      <w:r w:rsidR="00E66803">
        <w:rPr>
          <w:b/>
          <w:color w:val="0070C0"/>
          <w:u w:val="single"/>
        </w:rPr>
        <w:t xml:space="preserve"> </w:t>
      </w:r>
      <w:r w:rsidRPr="008862B6">
        <w:rPr>
          <w:b/>
          <w:color w:val="0070C0"/>
          <w:u w:val="single"/>
        </w:rPr>
        <w:t>202</w:t>
      </w:r>
      <w:r w:rsidR="007958B4">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lastRenderedPageBreak/>
        <w:t>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734AD804"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lastRenderedPageBreak/>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77777777" w:rsidR="00420BD5" w:rsidRDefault="003313B7" w:rsidP="00420BD5">
      <w:pPr>
        <w:ind w:firstLine="720"/>
        <w:jc w:val="both"/>
        <w:rPr>
          <w:b/>
          <w:color w:val="000000"/>
        </w:rPr>
      </w:pPr>
      <w:r>
        <w:rPr>
          <w:b/>
          <w:color w:val="000000"/>
        </w:rPr>
        <w:t>Договор купли-продажи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4A4259FC"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CCADDCB" w:rsidR="00283CFC" w:rsidRDefault="003313B7" w:rsidP="00BD1E53">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5492A13" w14:textId="77777777" w:rsidR="00A6650F" w:rsidRPr="00A6650F" w:rsidRDefault="00A6650F" w:rsidP="00A6650F">
      <w:pPr>
        <w:ind w:firstLine="720"/>
        <w:jc w:val="both"/>
        <w:rPr>
          <w:b/>
        </w:rPr>
      </w:pPr>
      <w:r w:rsidRPr="00A6650F">
        <w:rPr>
          <w:b/>
        </w:rPr>
        <w:t>Оплата по договору производится в два этапа: 10 (десять)% от суммы договора в течении 10 (десяти) рабочих дней с даты подписания договора, оставшаяся часть – не позднее 01.01.2026.</w:t>
      </w:r>
    </w:p>
    <w:p w14:paraId="13222E03" w14:textId="6156364F"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Pr="009E2591" w:rsidRDefault="00BA1B10" w:rsidP="00BD1E53">
      <w:pPr>
        <w:ind w:firstLine="720"/>
        <w:jc w:val="both"/>
        <w:rPr>
          <w:sz w:val="28"/>
          <w:szCs w:val="28"/>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38D6DA9D" w14:textId="77777777" w:rsidR="006E01E4" w:rsidRDefault="006E01E4" w:rsidP="00BD1E53">
      <w:pPr>
        <w:ind w:firstLine="720"/>
        <w:jc w:val="both"/>
        <w:rPr>
          <w:b/>
        </w:rPr>
      </w:pPr>
    </w:p>
    <w:p w14:paraId="7745417C" w14:textId="77777777" w:rsidR="00F27D20" w:rsidRDefault="00F27D20" w:rsidP="00F27D20">
      <w:pPr>
        <w:jc w:val="right"/>
        <w:rPr>
          <w:b/>
          <w:spacing w:val="26"/>
          <w:sz w:val="22"/>
          <w:szCs w:val="22"/>
        </w:rPr>
      </w:pPr>
    </w:p>
    <w:p w14:paraId="5FBB5857" w14:textId="77777777" w:rsidR="00964E0A" w:rsidRDefault="00964E0A" w:rsidP="00F27D20">
      <w:pPr>
        <w:jc w:val="right"/>
        <w:rPr>
          <w:b/>
          <w:spacing w:val="26"/>
          <w:sz w:val="22"/>
          <w:szCs w:val="22"/>
        </w:rPr>
      </w:pPr>
    </w:p>
    <w:p w14:paraId="6E9AA6D3" w14:textId="77777777" w:rsidR="00964E0A" w:rsidRDefault="00964E0A" w:rsidP="00F27D20">
      <w:pPr>
        <w:jc w:val="right"/>
        <w:rPr>
          <w:b/>
          <w:spacing w:val="26"/>
          <w:sz w:val="22"/>
          <w:szCs w:val="22"/>
        </w:rPr>
      </w:pPr>
    </w:p>
    <w:p w14:paraId="73DD8CD3" w14:textId="77777777" w:rsidR="00964E0A" w:rsidRDefault="00964E0A" w:rsidP="00F27D20">
      <w:pPr>
        <w:jc w:val="right"/>
        <w:rPr>
          <w:b/>
          <w:spacing w:val="26"/>
          <w:sz w:val="22"/>
          <w:szCs w:val="22"/>
        </w:rPr>
      </w:pPr>
    </w:p>
    <w:p w14:paraId="170C168C" w14:textId="77777777" w:rsidR="00964E0A" w:rsidRDefault="00964E0A" w:rsidP="00F27D20">
      <w:pPr>
        <w:jc w:val="right"/>
        <w:rPr>
          <w:b/>
          <w:spacing w:val="26"/>
          <w:sz w:val="22"/>
          <w:szCs w:val="22"/>
        </w:rPr>
      </w:pPr>
    </w:p>
    <w:p w14:paraId="66B9BBD5" w14:textId="77777777" w:rsidR="00964E0A" w:rsidRDefault="00964E0A" w:rsidP="00F27D20">
      <w:pPr>
        <w:jc w:val="right"/>
        <w:rPr>
          <w:b/>
          <w:spacing w:val="26"/>
          <w:sz w:val="22"/>
          <w:szCs w:val="22"/>
        </w:rPr>
      </w:pPr>
    </w:p>
    <w:p w14:paraId="6E39DA54" w14:textId="77777777" w:rsidR="00964E0A" w:rsidRDefault="00964E0A" w:rsidP="00F27D20">
      <w:pPr>
        <w:jc w:val="right"/>
        <w:rPr>
          <w:b/>
          <w:spacing w:val="26"/>
          <w:sz w:val="22"/>
          <w:szCs w:val="22"/>
        </w:rPr>
      </w:pPr>
    </w:p>
    <w:p w14:paraId="25332252" w14:textId="77777777" w:rsidR="00964E0A" w:rsidRDefault="00964E0A" w:rsidP="00F27D20">
      <w:pPr>
        <w:jc w:val="right"/>
        <w:rPr>
          <w:b/>
          <w:spacing w:val="26"/>
          <w:sz w:val="22"/>
          <w:szCs w:val="22"/>
        </w:rPr>
      </w:pPr>
    </w:p>
    <w:p w14:paraId="7D37AF04" w14:textId="77777777" w:rsidR="00964E0A" w:rsidRDefault="00964E0A" w:rsidP="00F27D20">
      <w:pPr>
        <w:jc w:val="right"/>
        <w:rPr>
          <w:b/>
          <w:spacing w:val="26"/>
          <w:sz w:val="22"/>
          <w:szCs w:val="22"/>
        </w:rPr>
      </w:pPr>
    </w:p>
    <w:p w14:paraId="7216D66F" w14:textId="77777777" w:rsidR="00964E0A" w:rsidRDefault="00964E0A" w:rsidP="00F27D20">
      <w:pPr>
        <w:jc w:val="right"/>
        <w:rPr>
          <w:b/>
          <w:spacing w:val="26"/>
          <w:sz w:val="22"/>
          <w:szCs w:val="22"/>
        </w:rPr>
      </w:pPr>
    </w:p>
    <w:p w14:paraId="71A9B1B8" w14:textId="77777777" w:rsidR="00964E0A" w:rsidRDefault="00964E0A" w:rsidP="00F27D20">
      <w:pPr>
        <w:jc w:val="right"/>
        <w:rPr>
          <w:b/>
          <w:spacing w:val="26"/>
          <w:sz w:val="22"/>
          <w:szCs w:val="22"/>
        </w:rPr>
      </w:pPr>
    </w:p>
    <w:p w14:paraId="1359002E" w14:textId="77777777" w:rsidR="00964E0A" w:rsidRDefault="00964E0A" w:rsidP="00F27D20">
      <w:pPr>
        <w:jc w:val="right"/>
        <w:rPr>
          <w:b/>
          <w:spacing w:val="26"/>
          <w:sz w:val="22"/>
          <w:szCs w:val="22"/>
        </w:rPr>
      </w:pPr>
    </w:p>
    <w:p w14:paraId="3EFF627B" w14:textId="77777777" w:rsidR="00964E0A" w:rsidRDefault="00964E0A" w:rsidP="00F27D20">
      <w:pPr>
        <w:jc w:val="right"/>
        <w:rPr>
          <w:b/>
          <w:spacing w:val="26"/>
          <w:sz w:val="22"/>
          <w:szCs w:val="22"/>
        </w:rPr>
      </w:pPr>
    </w:p>
    <w:p w14:paraId="3AAFD8FB" w14:textId="77777777" w:rsidR="00964E0A" w:rsidRDefault="00964E0A" w:rsidP="00F27D20">
      <w:pPr>
        <w:jc w:val="right"/>
        <w:rPr>
          <w:b/>
          <w:spacing w:val="26"/>
          <w:sz w:val="22"/>
          <w:szCs w:val="22"/>
        </w:rPr>
      </w:pPr>
    </w:p>
    <w:p w14:paraId="07CF33C7" w14:textId="77777777" w:rsidR="00964E0A" w:rsidRDefault="00964E0A" w:rsidP="00F27D20">
      <w:pPr>
        <w:jc w:val="right"/>
        <w:rPr>
          <w:b/>
          <w:spacing w:val="26"/>
          <w:sz w:val="22"/>
          <w:szCs w:val="22"/>
        </w:rPr>
      </w:pPr>
    </w:p>
    <w:p w14:paraId="72FDF8B9" w14:textId="77777777" w:rsidR="00964E0A" w:rsidRDefault="00964E0A" w:rsidP="00F27D20">
      <w:pPr>
        <w:jc w:val="right"/>
        <w:rPr>
          <w:b/>
          <w:spacing w:val="26"/>
          <w:sz w:val="22"/>
          <w:szCs w:val="22"/>
        </w:rPr>
      </w:pPr>
    </w:p>
    <w:p w14:paraId="55AC9D2A" w14:textId="77777777" w:rsidR="00964E0A" w:rsidRDefault="00964E0A" w:rsidP="00F27D20">
      <w:pPr>
        <w:jc w:val="right"/>
        <w:rPr>
          <w:b/>
          <w:spacing w:val="26"/>
          <w:sz w:val="22"/>
          <w:szCs w:val="22"/>
        </w:rPr>
      </w:pPr>
    </w:p>
    <w:p w14:paraId="20F8DAFD" w14:textId="77777777" w:rsidR="00964E0A" w:rsidRDefault="00964E0A" w:rsidP="00F27D20">
      <w:pPr>
        <w:jc w:val="right"/>
        <w:rPr>
          <w:b/>
          <w:spacing w:val="26"/>
          <w:sz w:val="22"/>
          <w:szCs w:val="22"/>
        </w:rPr>
      </w:pPr>
    </w:p>
    <w:p w14:paraId="435B2C8A" w14:textId="77777777" w:rsidR="00964E0A" w:rsidRDefault="00964E0A" w:rsidP="00F27D20">
      <w:pPr>
        <w:jc w:val="right"/>
        <w:rPr>
          <w:b/>
          <w:spacing w:val="26"/>
          <w:sz w:val="22"/>
          <w:szCs w:val="22"/>
        </w:rPr>
      </w:pPr>
    </w:p>
    <w:p w14:paraId="7816C6A2" w14:textId="77777777" w:rsidR="00964E0A" w:rsidRDefault="00964E0A" w:rsidP="00F27D20">
      <w:pPr>
        <w:jc w:val="right"/>
        <w:rPr>
          <w:b/>
          <w:spacing w:val="26"/>
          <w:sz w:val="22"/>
          <w:szCs w:val="22"/>
        </w:rPr>
      </w:pPr>
    </w:p>
    <w:p w14:paraId="520E2475" w14:textId="77777777" w:rsidR="00964E0A" w:rsidRDefault="00964E0A" w:rsidP="00F27D20">
      <w:pPr>
        <w:jc w:val="right"/>
        <w:rPr>
          <w:b/>
          <w:spacing w:val="26"/>
          <w:sz w:val="22"/>
          <w:szCs w:val="22"/>
        </w:rPr>
      </w:pPr>
    </w:p>
    <w:p w14:paraId="34465E25" w14:textId="77777777" w:rsidR="00964E0A" w:rsidRDefault="00964E0A" w:rsidP="00F27D20">
      <w:pPr>
        <w:jc w:val="right"/>
        <w:rPr>
          <w:b/>
          <w:spacing w:val="26"/>
          <w:sz w:val="22"/>
          <w:szCs w:val="22"/>
        </w:rPr>
      </w:pPr>
    </w:p>
    <w:p w14:paraId="4D5E6FD6" w14:textId="77777777" w:rsidR="00964E0A" w:rsidRDefault="00964E0A" w:rsidP="00F27D20">
      <w:pPr>
        <w:jc w:val="right"/>
        <w:rPr>
          <w:b/>
          <w:spacing w:val="26"/>
          <w:sz w:val="22"/>
          <w:szCs w:val="22"/>
        </w:rPr>
      </w:pPr>
    </w:p>
    <w:p w14:paraId="6C9CD53D" w14:textId="77777777" w:rsidR="00964E0A" w:rsidRDefault="00964E0A" w:rsidP="00F27D20">
      <w:pPr>
        <w:jc w:val="right"/>
        <w:rPr>
          <w:b/>
          <w:spacing w:val="26"/>
          <w:sz w:val="22"/>
          <w:szCs w:val="22"/>
        </w:rPr>
      </w:pPr>
    </w:p>
    <w:p w14:paraId="35E7FDB6" w14:textId="77777777" w:rsidR="00964E0A" w:rsidRDefault="00964E0A" w:rsidP="00F27D20">
      <w:pPr>
        <w:jc w:val="right"/>
        <w:rPr>
          <w:b/>
          <w:spacing w:val="26"/>
          <w:sz w:val="22"/>
          <w:szCs w:val="22"/>
        </w:rPr>
      </w:pPr>
    </w:p>
    <w:p w14:paraId="45793CC7" w14:textId="77777777" w:rsidR="00964E0A" w:rsidRDefault="00964E0A" w:rsidP="00F27D20">
      <w:pPr>
        <w:jc w:val="right"/>
        <w:rPr>
          <w:b/>
          <w:spacing w:val="26"/>
          <w:sz w:val="22"/>
          <w:szCs w:val="22"/>
        </w:rPr>
      </w:pPr>
    </w:p>
    <w:p w14:paraId="540F3B52" w14:textId="77777777" w:rsidR="00964E0A" w:rsidRDefault="00964E0A" w:rsidP="007958B4">
      <w:pPr>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 xml:space="preserve">(в том числе наличие иных гражданств </w:t>
            </w:r>
            <w:r w:rsidRPr="00BA1B10">
              <w:rPr>
                <w:rFonts w:ascii="Times New Roman" w:hAnsi="Times New Roman" w:cs="Times New Roman"/>
                <w:lang w:bidi="hi-IN"/>
              </w:rPr>
              <w:lastRenderedPageBreak/>
              <w:t>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w:t>
            </w:r>
            <w:r w:rsidRPr="00BA1B10">
              <w:rPr>
                <w:rFonts w:ascii="Times New Roman" w:hAnsi="Times New Roman" w:cs="Times New Roman"/>
                <w:color w:val="020C22"/>
              </w:rPr>
              <w:lastRenderedPageBreak/>
              <w:t xml:space="preserve">«Да»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w:t>
            </w:r>
            <w:r w:rsidRPr="00BA1B10">
              <w:rPr>
                <w:rFonts w:ascii="Times New Roman" w:hAnsi="Times New Roman" w:cs="Times New Roman"/>
                <w:color w:val="020C22"/>
              </w:rPr>
              <w:lastRenderedPageBreak/>
              <w:t>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31146A98" w14:textId="77777777" w:rsidR="00BA1B10" w:rsidRPr="00BA1B10" w:rsidRDefault="00BA1B10" w:rsidP="005B02F6">
      <w:pPr>
        <w:rPr>
          <w:b/>
          <w:bCs/>
          <w:sz w:val="22"/>
          <w:szCs w:val="22"/>
          <w:u w:val="single"/>
          <w:lang w:eastAsia="en-US"/>
        </w:rPr>
      </w:pPr>
    </w:p>
    <w:p w14:paraId="774A04C9" w14:textId="77777777" w:rsidR="00BA1B10" w:rsidRPr="00BA1B10" w:rsidRDefault="00BA1B10" w:rsidP="00BA1B10">
      <w:pPr>
        <w:jc w:val="cente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7AF7D0CA" w14:textId="5D2F86C9" w:rsidR="00BA1B10" w:rsidRPr="005B02F6" w:rsidRDefault="00BA1B10" w:rsidP="005B02F6">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BA1B10">
      <w:pPr>
        <w:spacing w:after="160" w:line="259" w:lineRule="auto"/>
        <w:jc w:val="center"/>
        <w:rPr>
          <w:sz w:val="22"/>
          <w:szCs w:val="22"/>
          <w:lang w:eastAsia="en-US"/>
        </w:rPr>
      </w:pPr>
    </w:p>
    <w:p w14:paraId="462839DC" w14:textId="0352B89F" w:rsidR="007C7423" w:rsidRPr="005B02F6" w:rsidRDefault="00BA1B10" w:rsidP="005B02F6">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p w14:paraId="485DC5E1" w14:textId="74418BEA" w:rsidR="007C7423" w:rsidRDefault="007C7423" w:rsidP="00BA1B10">
      <w:pPr>
        <w:jc w:val="right"/>
        <w:rPr>
          <w:b/>
          <w:sz w:val="22"/>
          <w:szCs w:val="22"/>
        </w:rPr>
      </w:pPr>
      <w:r>
        <w:rPr>
          <w:b/>
          <w:sz w:val="22"/>
          <w:szCs w:val="22"/>
        </w:rPr>
        <w:lastRenderedPageBreak/>
        <w:t>ПРИЛОЖЕНИЕ 3</w:t>
      </w:r>
    </w:p>
    <w:p w14:paraId="7E17DA15" w14:textId="77777777" w:rsidR="007C7423" w:rsidRDefault="007C7423" w:rsidP="00BA1B10">
      <w:pPr>
        <w:jc w:val="right"/>
        <w:rPr>
          <w:b/>
          <w:sz w:val="22"/>
          <w:szCs w:val="22"/>
        </w:rPr>
      </w:pPr>
    </w:p>
    <w:p w14:paraId="22340AFE" w14:textId="4DA8A6DC" w:rsidR="007C7423" w:rsidRDefault="007C7423" w:rsidP="007C7423">
      <w:pPr>
        <w:jc w:val="center"/>
      </w:pPr>
      <w:bookmarkStart w:id="6" w:name="_Hlk201329805"/>
      <w:r>
        <w:t>Схема передаваемых помещений в обратную аренду на 1 этаже. Площадь помещений составляет 352,3 кв. м.</w:t>
      </w:r>
    </w:p>
    <w:bookmarkEnd w:id="6"/>
    <w:p w14:paraId="07882953" w14:textId="6AA009F8" w:rsidR="007C7423" w:rsidRDefault="007C7423" w:rsidP="007C7423">
      <w:pPr>
        <w:rPr>
          <w:b/>
          <w:sz w:val="22"/>
          <w:szCs w:val="22"/>
        </w:rPr>
      </w:pPr>
      <w:r w:rsidRPr="007C7423">
        <w:rPr>
          <w:b/>
          <w:noProof/>
          <w:sz w:val="22"/>
          <w:szCs w:val="22"/>
        </w:rPr>
        <w:drawing>
          <wp:inline distT="0" distB="0" distL="0" distR="0" wp14:anchorId="18AB506E" wp14:editId="563437BA">
            <wp:extent cx="5672220" cy="4066162"/>
            <wp:effectExtent l="0" t="0" r="5080" b="0"/>
            <wp:docPr id="1956248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48727" name=""/>
                    <pic:cNvPicPr/>
                  </pic:nvPicPr>
                  <pic:blipFill>
                    <a:blip r:embed="rId17"/>
                    <a:stretch>
                      <a:fillRect/>
                    </a:stretch>
                  </pic:blipFill>
                  <pic:spPr>
                    <a:xfrm>
                      <a:off x="0" y="0"/>
                      <a:ext cx="5676146" cy="4068977"/>
                    </a:xfrm>
                    <a:prstGeom prst="rect">
                      <a:avLst/>
                    </a:prstGeom>
                  </pic:spPr>
                </pic:pic>
              </a:graphicData>
            </a:graphic>
          </wp:inline>
        </w:drawing>
      </w:r>
    </w:p>
    <w:p w14:paraId="53114CDA" w14:textId="77777777" w:rsidR="007C7423" w:rsidRDefault="007C7423" w:rsidP="007C7423">
      <w:pPr>
        <w:rPr>
          <w:b/>
          <w:sz w:val="22"/>
          <w:szCs w:val="22"/>
        </w:rPr>
      </w:pPr>
    </w:p>
    <w:p w14:paraId="6E708327" w14:textId="226A023E" w:rsidR="007C7423" w:rsidRDefault="007C7423" w:rsidP="007C7423">
      <w:pPr>
        <w:jc w:val="center"/>
        <w:rPr>
          <w:b/>
          <w:sz w:val="22"/>
          <w:szCs w:val="22"/>
        </w:rPr>
      </w:pPr>
      <w:r w:rsidRPr="007C7423">
        <w:rPr>
          <w:b/>
          <w:sz w:val="22"/>
          <w:szCs w:val="22"/>
        </w:rPr>
        <w:t xml:space="preserve">Схема передаваемых помещений в обратную аренду на </w:t>
      </w:r>
      <w:r>
        <w:rPr>
          <w:b/>
          <w:sz w:val="22"/>
          <w:szCs w:val="22"/>
        </w:rPr>
        <w:t>2</w:t>
      </w:r>
      <w:r w:rsidRPr="007C7423">
        <w:rPr>
          <w:b/>
          <w:sz w:val="22"/>
          <w:szCs w:val="22"/>
        </w:rPr>
        <w:t xml:space="preserve"> этаже. Площадь помещений составляет </w:t>
      </w:r>
      <w:r>
        <w:rPr>
          <w:b/>
          <w:sz w:val="22"/>
          <w:szCs w:val="22"/>
        </w:rPr>
        <w:t>38,5</w:t>
      </w:r>
      <w:r w:rsidRPr="007C7423">
        <w:rPr>
          <w:b/>
          <w:sz w:val="22"/>
          <w:szCs w:val="22"/>
        </w:rPr>
        <w:t xml:space="preserve"> кв. м.</w:t>
      </w:r>
    </w:p>
    <w:p w14:paraId="6681C005" w14:textId="1A2BC1B1" w:rsidR="007C7423" w:rsidRPr="00F27D20" w:rsidRDefault="007C7423" w:rsidP="007C7423">
      <w:pPr>
        <w:rPr>
          <w:b/>
          <w:sz w:val="22"/>
          <w:szCs w:val="22"/>
        </w:rPr>
      </w:pPr>
      <w:r w:rsidRPr="007C7423">
        <w:rPr>
          <w:b/>
          <w:noProof/>
          <w:sz w:val="22"/>
          <w:szCs w:val="22"/>
        </w:rPr>
        <w:drawing>
          <wp:inline distT="0" distB="0" distL="0" distR="0" wp14:anchorId="1BB2682A" wp14:editId="02131739">
            <wp:extent cx="5727889" cy="4269446"/>
            <wp:effectExtent l="0" t="0" r="6350" b="0"/>
            <wp:docPr id="5859038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03860" name=""/>
                    <pic:cNvPicPr/>
                  </pic:nvPicPr>
                  <pic:blipFill>
                    <a:blip r:embed="rId18"/>
                    <a:stretch>
                      <a:fillRect/>
                    </a:stretch>
                  </pic:blipFill>
                  <pic:spPr>
                    <a:xfrm>
                      <a:off x="0" y="0"/>
                      <a:ext cx="5732240" cy="4272689"/>
                    </a:xfrm>
                    <a:prstGeom prst="rect">
                      <a:avLst/>
                    </a:prstGeom>
                  </pic:spPr>
                </pic:pic>
              </a:graphicData>
            </a:graphic>
          </wp:inline>
        </w:drawing>
      </w:r>
    </w:p>
    <w:sectPr w:rsidR="007C7423"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DB60" w14:textId="77777777" w:rsidR="00F85E64" w:rsidRDefault="00F85E64" w:rsidP="00183809">
      <w:r>
        <w:separator/>
      </w:r>
    </w:p>
  </w:endnote>
  <w:endnote w:type="continuationSeparator" w:id="0">
    <w:p w14:paraId="1F61A1F1" w14:textId="77777777" w:rsidR="00F85E64" w:rsidRDefault="00F85E64"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7EB2" w14:textId="77777777" w:rsidR="00F85E64" w:rsidRDefault="00F85E64" w:rsidP="00183809">
      <w:r>
        <w:separator/>
      </w:r>
    </w:p>
  </w:footnote>
  <w:footnote w:type="continuationSeparator" w:id="0">
    <w:p w14:paraId="77C45E10" w14:textId="77777777" w:rsidR="00F85E64" w:rsidRDefault="00F85E64"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585C408A" w:rsidR="00BA1B10" w:rsidRDefault="00BA1B10" w:rsidP="00BA1B10">
      <w:pPr>
        <w:pStyle w:val="ab"/>
        <w:jc w:val="both"/>
        <w:rPr>
          <w:i/>
          <w:iCs/>
        </w:rPr>
      </w:pPr>
      <w:r>
        <w:rPr>
          <w:i/>
          <w:iCs/>
        </w:rPr>
        <w:t>2) контролирующее лицо на основании договора или по иным основаниям получило право или полномочие определять решения,</w:t>
      </w:r>
      <w:r w:rsidR="007958B4">
        <w:rPr>
          <w:i/>
          <w:iCs/>
        </w:rPr>
        <w:t xml:space="preserve"> </w:t>
      </w:r>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6624D1EF"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3"/>
  </w:num>
  <w:num w:numId="3" w16cid:durableId="1066759948">
    <w:abstractNumId w:val="1"/>
  </w:num>
  <w:num w:numId="4" w16cid:durableId="2136169769">
    <w:abstractNumId w:val="2"/>
  </w:num>
  <w:num w:numId="5" w16cid:durableId="426386197">
    <w:abstractNumId w:val="5"/>
  </w:num>
  <w:num w:numId="6" w16cid:durableId="1239365014">
    <w:abstractNumId w:val="4"/>
  </w:num>
  <w:num w:numId="7" w16cid:durableId="745348805">
    <w:abstractNumId w:val="7"/>
  </w:num>
  <w:num w:numId="8" w16cid:durableId="915211373">
    <w:abstractNumId w:val="8"/>
  </w:num>
  <w:num w:numId="9" w16cid:durableId="4136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FB0"/>
    <w:rsid w:val="000747B7"/>
    <w:rsid w:val="00087D69"/>
    <w:rsid w:val="000A065F"/>
    <w:rsid w:val="000C29D9"/>
    <w:rsid w:val="000F4E9D"/>
    <w:rsid w:val="00117C46"/>
    <w:rsid w:val="001429A5"/>
    <w:rsid w:val="00170516"/>
    <w:rsid w:val="00183809"/>
    <w:rsid w:val="001B32B4"/>
    <w:rsid w:val="0023578D"/>
    <w:rsid w:val="00262F28"/>
    <w:rsid w:val="00283CFC"/>
    <w:rsid w:val="002B0A09"/>
    <w:rsid w:val="002B1293"/>
    <w:rsid w:val="002F57DE"/>
    <w:rsid w:val="00303FE5"/>
    <w:rsid w:val="00305EB4"/>
    <w:rsid w:val="003134F8"/>
    <w:rsid w:val="00316BA5"/>
    <w:rsid w:val="003313B7"/>
    <w:rsid w:val="003568E9"/>
    <w:rsid w:val="003A5D32"/>
    <w:rsid w:val="003C0D48"/>
    <w:rsid w:val="003C3563"/>
    <w:rsid w:val="00420BD5"/>
    <w:rsid w:val="004232B4"/>
    <w:rsid w:val="004828B9"/>
    <w:rsid w:val="00564BD7"/>
    <w:rsid w:val="005B02F6"/>
    <w:rsid w:val="005B1A65"/>
    <w:rsid w:val="005C062E"/>
    <w:rsid w:val="005D2C92"/>
    <w:rsid w:val="005E668E"/>
    <w:rsid w:val="006050B3"/>
    <w:rsid w:val="00631324"/>
    <w:rsid w:val="006324C4"/>
    <w:rsid w:val="00641D64"/>
    <w:rsid w:val="006458A5"/>
    <w:rsid w:val="00663454"/>
    <w:rsid w:val="006949EF"/>
    <w:rsid w:val="006B459D"/>
    <w:rsid w:val="006E01E4"/>
    <w:rsid w:val="00722772"/>
    <w:rsid w:val="007958B4"/>
    <w:rsid w:val="007A144D"/>
    <w:rsid w:val="007C7423"/>
    <w:rsid w:val="007D701D"/>
    <w:rsid w:val="008446B9"/>
    <w:rsid w:val="008862B6"/>
    <w:rsid w:val="00890C78"/>
    <w:rsid w:val="008A1B1C"/>
    <w:rsid w:val="00963E4B"/>
    <w:rsid w:val="00964E0A"/>
    <w:rsid w:val="00996E61"/>
    <w:rsid w:val="009D025E"/>
    <w:rsid w:val="009E2591"/>
    <w:rsid w:val="009E60EF"/>
    <w:rsid w:val="00A00018"/>
    <w:rsid w:val="00A0030D"/>
    <w:rsid w:val="00A35321"/>
    <w:rsid w:val="00A444A4"/>
    <w:rsid w:val="00A6650F"/>
    <w:rsid w:val="00A9043E"/>
    <w:rsid w:val="00AA70CC"/>
    <w:rsid w:val="00AD28E8"/>
    <w:rsid w:val="00B11676"/>
    <w:rsid w:val="00B57FED"/>
    <w:rsid w:val="00BA1B10"/>
    <w:rsid w:val="00BD1E53"/>
    <w:rsid w:val="00BE6746"/>
    <w:rsid w:val="00C30CE6"/>
    <w:rsid w:val="00C57F4D"/>
    <w:rsid w:val="00C645B3"/>
    <w:rsid w:val="00C6756A"/>
    <w:rsid w:val="00C96C52"/>
    <w:rsid w:val="00CC34AC"/>
    <w:rsid w:val="00D0777C"/>
    <w:rsid w:val="00D17E18"/>
    <w:rsid w:val="00D230FA"/>
    <w:rsid w:val="00D30FAE"/>
    <w:rsid w:val="00DF3CF7"/>
    <w:rsid w:val="00E022F8"/>
    <w:rsid w:val="00E25F6C"/>
    <w:rsid w:val="00E64758"/>
    <w:rsid w:val="00E66803"/>
    <w:rsid w:val="00E75740"/>
    <w:rsid w:val="00E8059F"/>
    <w:rsid w:val="00EB150A"/>
    <w:rsid w:val="00EB3FA1"/>
    <w:rsid w:val="00EB4E8A"/>
    <w:rsid w:val="00F06251"/>
    <w:rsid w:val="00F166ED"/>
    <w:rsid w:val="00F27D20"/>
    <w:rsid w:val="00F27F1F"/>
    <w:rsid w:val="00F519A5"/>
    <w:rsid w:val="00F85E64"/>
    <w:rsid w:val="00F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52"/>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 w:type="character" w:styleId="af8">
    <w:name w:val="Intense Reference"/>
    <w:basedOn w:val="a0"/>
    <w:uiPriority w:val="32"/>
    <w:qFormat/>
    <w:rsid w:val="00963E4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598">
      <w:bodyDiv w:val="1"/>
      <w:marLeft w:val="0"/>
      <w:marRight w:val="0"/>
      <w:marTop w:val="0"/>
      <w:marBottom w:val="0"/>
      <w:divBdr>
        <w:top w:val="none" w:sz="0" w:space="0" w:color="auto"/>
        <w:left w:val="none" w:sz="0" w:space="0" w:color="auto"/>
        <w:bottom w:val="none" w:sz="0" w:space="0" w:color="auto"/>
        <w:right w:val="none" w:sz="0" w:space="0" w:color="auto"/>
      </w:divBdr>
    </w:div>
    <w:div w:id="208012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lot-online.ru/images/docs/regulations/reglament_prod.pdf?_t=1666941793"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uction-hous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s://catalog.lot-online.ru/images/docs/regulations/reglament_zadatok_bkr.pdf?_t=1658847783" TargetMode="External"/><Relationship Id="rId10" Type="http://schemas.openxmlformats.org/officeDocument/2006/relationships/hyperlink" Target="mailto:dv@auction-house.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273EFBB9-9194-4F6B-B301-BD9122DD42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14</Pages>
  <Words>5535</Words>
  <Characters>31555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47</cp:revision>
  <dcterms:created xsi:type="dcterms:W3CDTF">2021-04-20T04:32:00Z</dcterms:created>
  <dcterms:modified xsi:type="dcterms:W3CDTF">2025-06-23T00:16:00Z</dcterms:modified>
</cp:coreProperties>
</file>