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05.05.2025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Ирхина Юлия Александровна (Кривоносова Юлия Александровна) (12.08.1984г.р., место рожд: с.Кулешовка Подгоренского р-на Воронежской обл., адрес рег: Воронежская обл, пгт.Подгоренский, ул.Вокзальная, 35-21, СНИЛС05146713946, ИНН 362401823611, паспорт РФ серия 2005, номер 557026, выдан 20.10.2005, кем выдан ОТДЕЛОМ ВНУТРЕННИХ ДЕЛ ПОДГОРЕНСКОГО РАЙОНА ВОРОНЕЖСКОЙ ОБЛАСТИ, код подразделения 362-032),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Воронежской области от 26.12.2024г. по делу №А14-5235/2024,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17.06.2025г. по продаже имущества Ирхиной Юлии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БЕЗ МОДЕЛИ 19RL 1 4, VIN: VF1L53H0521030893, гос. рег. номер: Е709ТХ36, год изготовления: 1999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1.2. Транспортное средство принадлежит супругу Продавца (Ирхину Александру Викторовичу) на праве собственности на основании Паспорта транспортного средства 90 РМ 568454, Свидетельства о регистрации ТС 99 39 350300.</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17.06.2025г.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Ирхиной Юлии Александровны 40817810250190671790, ИНН должника: 362401823611</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Ирхина Юлия Александровна (Кривоносова Юлия Александровна) (12.08.1984г.р., место рожд: с.Кулешовка Подгоренского р-на Воронежской обл., адрес рег: Воронежская обл, пгт.Подгоренский, ул.Вокзальная, 35-21, СНИЛС05146713946, ИНН 362401823611, паспорт РФ серия 2005, номер 557026, выдан 20.10.2005, кем выдан ОТДЕЛОМ ВНУТРЕННИХ ДЕЛ ПОДГОРЕНСКОГО РАЙОНА ВОРОНЕЖСКОЙ ОБЛАСТИ, код подразделения 362-032)</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Ирхиной Юлии Александровны 40817810250190671790,</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362401823611</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Ирхиной Юлии Александровны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Агнаева Екатерина Сергеевна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