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ФОРД ФОКУС.Принадлежит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Стейскал Николай Александрович (дата рождения: 17.07.1988 г., место рождения: гор. Ростова-на-Дону, СНИЛС 156-623-995-98, ИНН 616609379928, регистрация по месту жительства: 346731, Ростовская обл., Аксайский р-н, п. Щепкин, пер. Крымский, д. 5)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ФОРД ФОКУС.Принадлежит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