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theme/theme1.xml" ContentType="application/vnd.openxmlformats-officedocument.theme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settings.xml" ContentType="application/vnd.openxmlformats-officedocument.wordprocessingml.settings+xml"/>
</Types>
</file>

<file path=_rels/.rels><?xml version="1.0" encoding="UTF-8"?>
<Relationships xmlns="http://schemas.openxmlformats.org/package/2006/relationships"><Relationship Id="rId1" Type="http://schemas.openxmlformats.org/officedocument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Style14"/>
        <w:bidi w:val="0"/>
        <w:spacing w:before="240" w:after="120"/>
        <w:jc w:val="center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 xml:space="preserve">Договор о задатке </w:t>
      </w:r>
    </w:p>
    <w:p>
      <w:pPr>
        <w:pStyle w:val="BodyText"/>
        <w:bidi w:val="0"/>
        <w:jc w:val="center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(проект)</w:t>
      </w:r>
    </w:p>
    <w:p>
      <w:pPr>
        <w:pStyle w:val="Normal"/>
        <w:shd w:val="clear" w:fill="FFFFFF"/>
        <w:tabs>
          <w:tab w:val="clear" w:pos="709"/>
          <w:tab w:val="left" w:pos="1145" w:leader="none"/>
        </w:tabs>
        <w:bidi w:val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Акционерное общество «Российский аукционный дом»,</w:t>
      </w:r>
      <w:r>
        <w:rPr>
          <w:rFonts w:ascii="Times New Roman" w:hAnsi="Times New Roman"/>
          <w:sz w:val="24"/>
          <w:szCs w:val="24"/>
        </w:rPr>
        <w:t xml:space="preserve"> именуемое в дальнейшем «Оператор электронной площадки», в лице Руководителя департамента по управлению и развитию электронной торговой площадки (ЭТП) Канцеровой Елены Владимировны, действующей на основании Доверенности от 11.01.2021 № Д-047 и присоединившийся к условиям настоящего договора</w:t>
      </w:r>
      <w:r>
        <w:rPr>
          <w:rFonts w:eastAsia="Times New Roman" w:cs="Times New Roman" w:ascii="Times New Roman" w:hAnsi="Times New Roman"/>
          <w:b w:val="false"/>
          <w:bCs w:val="false"/>
          <w:color w:val="F44336"/>
          <w:sz w:val="22"/>
          <w:szCs w:val="22"/>
        </w:rPr>
        <w:t> </w:t>
      </w:r>
      <w:r>
        <w:rPr>
          <w:rFonts w:cs="Times New Roman" w:ascii="Times New Roman" w:hAnsi="Times New Roman"/>
          <w:b/>
          <w:bCs/>
          <w:color w:val="000000"/>
          <w:sz w:val="24"/>
          <w:szCs w:val="24"/>
          <w:shd w:fill="auto" w:val="clear"/>
          <w:lang w:val="ru-RU" w:eastAsia="ru-RU" w:bidi="ru-RU"/>
        </w:rPr>
        <w:t>Кириллов Артём Григорьевич</w:t>
      </w:r>
      <w:r>
        <w:rPr>
          <w:rFonts w:ascii="Times New Roman" w:hAnsi="Times New Roman"/>
          <w:b/>
          <w:color w:val="000000"/>
          <w:sz w:val="24"/>
          <w:szCs w:val="24"/>
        </w:rPr>
        <w:t>, именуемый в дальнейшем «Организатор торгов»</w:t>
      </w:r>
      <w:r>
        <w:rPr>
          <w:rFonts w:ascii="Times New Roman" w:hAnsi="Times New Roman"/>
          <w:bCs/>
          <w:color w:val="000000"/>
          <w:sz w:val="24"/>
          <w:szCs w:val="24"/>
          <w:shd w:fill="FFFFFF" w:val="clear"/>
          <w:lang w:bidi="ru-RU"/>
        </w:rPr>
        <w:t xml:space="preserve">, </w:t>
      </w:r>
      <w:r>
        <w:rPr>
          <w:rFonts w:ascii="Times New Roman" w:hAnsi="Times New Roman"/>
          <w:bCs/>
          <w:sz w:val="24"/>
          <w:szCs w:val="24"/>
          <w:shd w:fill="FFFFFF" w:val="clear"/>
          <w:lang w:bidi="ru-RU"/>
        </w:rPr>
        <w:t xml:space="preserve"/>
      </w:r>
      <w:r>
        <w:rPr>
          <w:rFonts w:ascii="Times New Roman" w:hAnsi="Times New Roman"/>
          <w:sz w:val="24"/>
          <w:szCs w:val="24"/>
        </w:rPr>
        <w:t>и присоединившийся к настоящему Договору</w:t>
      </w:r>
      <w:r>
        <w:rPr>
          <w:rFonts w:ascii="Times New Roman" w:hAnsi="Times New Roman"/>
          <w:b/>
          <w:bCs/>
          <w:sz w:val="24"/>
          <w:szCs w:val="24"/>
        </w:rPr>
        <w:t xml:space="preserve"/>
      </w:r>
      <w:r>
        <w:rPr>
          <w:rFonts w:ascii="Times New Roman" w:hAnsi="Times New Roman"/>
          <w:sz w:val="24"/>
          <w:szCs w:val="24"/>
        </w:rPr>
        <w:t>претендент</w:t>
      </w:r>
      <w:r>
        <w:rPr>
          <w:rFonts w:ascii="Times New Roman" w:hAnsi="Times New Roman"/>
          <w:b/>
          <w:sz w:val="24"/>
          <w:szCs w:val="24"/>
        </w:rPr>
        <w:t xml:space="preserve"/>
      </w:r>
      <w:r>
        <w:rPr>
          <w:rFonts w:ascii="Times New Roman" w:hAnsi="Times New Roman"/>
          <w:sz w:val="24"/>
          <w:szCs w:val="24"/>
        </w:rPr>
        <w:t xml:space="preserve">________________________________________________________________________________________________________________________________________________________________________________________________________________________________________________на участие в торгах по продаже </w:t>
      </w:r>
      <w:r>
        <w:rPr>
          <w:rFonts w:cs="Times New Roman" w:ascii="Times New Roman" w:hAnsi="Times New Roman"/>
          <w:color w:val="000000"/>
          <w:sz w:val="24"/>
          <w:szCs w:val="24"/>
          <w:shd w:fill="auto" w:val="clear"/>
        </w:rPr>
        <w:t xml:space="preserve">Легковой автомобиль LADA 111740 LADA KALINA.Принадлежит должнику на праве совместной собственности супругов. </w:t>
      </w:r>
      <w:r>
        <w:rPr>
          <w:rFonts w:ascii="Times New Roman" w:hAnsi="Times New Roman"/>
          <w:sz w:val="24"/>
          <w:szCs w:val="24"/>
          <w:shd w:fill="auto" w:val="clear"/>
        </w:rPr>
        <w:t>(лот)</w:t>
      </w:r>
      <w:r>
        <w:rPr>
          <w:rFonts w:ascii="Times New Roman" w:hAnsi="Times New Roman"/>
          <w:sz w:val="24"/>
          <w:szCs w:val="24"/>
        </w:rPr>
        <w:t xml:space="preserve"> в ходе процедуры банкротства Должника </w:t>
      </w:r>
      <w:r>
        <w:rPr>
          <w:rFonts w:eastAsia="Calibri" w:cs="Times New Roman" w:ascii="Times New Roman" w:hAnsi="Times New Roman"/>
          <w:color w:val="000000"/>
          <w:sz w:val="24"/>
          <w:szCs w:val="24"/>
          <w:shd w:fill="auto" w:val="clear"/>
          <w:lang w:val="ru-RU" w:eastAsia="ru-RU" w:bidi="ar-SA"/>
        </w:rPr>
        <w:t>Марченков Алексей Михайлович (дата рождения: 25.03.1994 г., место рождения: гор. Карачев Брянской обл., СНИЛС 155-225- 875 68, ИНН 325402864064, регистрация по месту жительства: 242500, Брянская обл., Карачевский р-н, д. Мальтина, ул. Привокзальная, д. 2/1, кв. 3)</w:t>
      </w:r>
      <w:r>
        <w:rPr>
          <w:rFonts w:ascii="Times New Roman" w:hAnsi="Times New Roman"/>
          <w:sz w:val="24"/>
          <w:szCs w:val="24"/>
        </w:rPr>
        <w:t xml:space="preserve">, именуемый в дальнейшем </w:t>
      </w:r>
      <w:r>
        <w:rPr>
          <w:rFonts w:ascii="Times New Roman" w:hAnsi="Times New Roman"/>
          <w:b/>
          <w:sz w:val="24"/>
          <w:szCs w:val="24"/>
        </w:rPr>
        <w:t xml:space="preserve">«Претендент», </w:t>
      </w:r>
      <w:r>
        <w:rPr>
          <w:rFonts w:ascii="Times New Roman" w:hAnsi="Times New Roman"/>
          <w:sz w:val="24"/>
          <w:szCs w:val="24"/>
        </w:rPr>
        <w:t>совместно именуемые «Стороны», в соответствии с требованиями ст.ст.380, 381, 428 ГК РФ, заключили настоящий Договор (далее – Договор) о нижеследующем:</w:t>
      </w:r>
    </w:p>
    <w:p>
      <w:pPr>
        <w:pStyle w:val="Normal"/>
        <w:bidi w:val="0"/>
        <w:ind w:firstLine="567" w:start="0" w:end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1. В соответствии с условиями настоящего Договора Претендент для участия </w:t>
      </w:r>
      <w:r>
        <w:rPr>
          <w:rFonts w:ascii="Times New Roman" w:hAnsi="Times New Roman"/>
          <w:sz w:val="24"/>
          <w:szCs w:val="24"/>
        </w:rPr>
        <w:t xml:space="preserve">в торгах в форме </w:t>
      </w:r>
      <w:r>
        <w:rPr>
          <w:rFonts w:ascii="Times New Roman" w:hAnsi="Times New Roman"/>
          <w:sz w:val="24"/>
          <w:szCs w:val="24"/>
          <w:shd w:fill="auto" w:val="clear"/>
        </w:rPr>
        <w:t/>
      </w:r>
      <w:r>
        <w:rPr>
          <w:rFonts w:ascii="Times New Roman" w:hAnsi="Times New Roman"/>
          <w:sz w:val="24"/>
          <w:szCs w:val="24"/>
        </w:rPr>
        <w:t xml:space="preserve"> по продаже </w:t>
      </w:r>
      <w:r>
        <w:rPr>
          <w:rFonts w:cs="Times New Roman" w:ascii="Times New Roman" w:hAnsi="Times New Roman"/>
          <w:color w:val="000000"/>
          <w:sz w:val="24"/>
          <w:szCs w:val="24"/>
          <w:shd w:fill="auto" w:val="clear"/>
        </w:rPr>
        <w:t>Легковой автомобиль LADA 111740 LADA KALINA.Принадлежит должнику на праве совместной собственности супругов.</w:t>
      </w:r>
      <w:r>
        <w:rPr>
          <w:rFonts w:ascii="Times New Roman" w:hAnsi="Times New Roman"/>
          <w:sz w:val="24"/>
          <w:szCs w:val="24"/>
          <w:shd w:fill="auto" w:val="clear"/>
        </w:rPr>
        <w:t xml:space="preserve"> (лот)</w:t>
      </w:r>
      <w:r>
        <w:rPr>
          <w:rFonts w:ascii="Times New Roman" w:hAnsi="Times New Roman"/>
          <w:sz w:val="24"/>
          <w:szCs w:val="24"/>
        </w:rPr>
        <w:t xml:space="preserve"/>
      </w:r>
      <w:r>
        <w:rPr>
          <w:rFonts w:ascii="Times New Roman" w:hAnsi="Times New Roman"/>
          <w:color w:val="000000"/>
          <w:sz w:val="24"/>
          <w:szCs w:val="24"/>
        </w:rPr>
        <w:t xml:space="preserve">(далее – Имущество), перечисляет денежные средства </w:t>
      </w:r>
      <w:r>
        <w:rPr>
          <w:rFonts w:ascii="Times New Roman" w:hAnsi="Times New Roman"/>
          <w:b/>
          <w:color w:val="000000"/>
          <w:sz w:val="24"/>
          <w:szCs w:val="24"/>
        </w:rPr>
        <w:t xml:space="preserve">в размере </w:t>
      </w:r>
      <w:r>
        <w:rPr>
          <w:rFonts w:cs="Times New Roman" w:ascii="Times New Roman" w:hAnsi="Times New Roman"/>
          <w:b/>
          <w:color w:val="000000"/>
          <w:sz w:val="24"/>
          <w:szCs w:val="24"/>
          <w:shd w:fill="auto" w:val="clear"/>
        </w:rPr>
        <w:t>10</w:t>
      </w:r>
      <w:r>
        <w:rPr>
          <w:rFonts w:ascii="Times New Roman" w:hAnsi="Times New Roman"/>
          <w:b/>
          <w:color w:val="000000"/>
          <w:sz w:val="24"/>
          <w:szCs w:val="24"/>
        </w:rPr>
        <w:t>% (</w:t>
      </w:r>
      <w:r>
        <w:rPr>
          <w:rFonts w:cs="Times New Roman" w:ascii="Times New Roman" w:hAnsi="Times New Roman"/>
          <w:b/>
          <w:color w:val="000000"/>
          <w:sz w:val="24"/>
          <w:szCs w:val="24"/>
          <w:shd w:fill="auto" w:val="clear"/>
        </w:rPr>
        <w:t/>
      </w:r>
      <w:r>
        <w:rPr>
          <w:rFonts w:ascii="Times New Roman" w:hAnsi="Times New Roman"/>
          <w:b/>
          <w:color w:val="000000"/>
          <w:sz w:val="24"/>
          <w:szCs w:val="24"/>
        </w:rPr>
        <w:t xml:space="preserve"> руб.) от начальной цены </w:t>
      </w:r>
      <w:r>
        <w:rPr>
          <w:rFonts w:ascii="Times New Roman" w:hAnsi="Times New Roman"/>
          <w:b/>
          <w:bCs/>
          <w:sz w:val="24"/>
          <w:szCs w:val="24"/>
        </w:rPr>
        <w:t xml:space="preserve">Имущества </w:t>
      </w:r>
      <w:r>
        <w:rPr>
          <w:rFonts w:ascii="Times New Roman" w:hAnsi="Times New Roman"/>
          <w:sz w:val="24"/>
          <w:szCs w:val="24"/>
        </w:rPr>
        <w:t>(далее – «Задаток») на расчетный счет Оператора электронной площадки:</w:t>
      </w:r>
      <w:r>
        <w:rPr>
          <w:rFonts w:ascii="Times New Roman" w:hAnsi="Times New Roman"/>
          <w:bCs/>
          <w:sz w:val="24"/>
          <w:szCs w:val="24"/>
          <w:shd w:fill="FFFFFF" w:val="clear"/>
        </w:rPr>
        <w:t xml:space="preserve"/>
      </w:r>
    </w:p>
    <w:p>
      <w:pPr>
        <w:pStyle w:val="Normal"/>
        <w:bidi w:val="0"/>
        <w:ind w:firstLine="567" w:start="0" w:end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bCs/>
          <w:color w:val="000000"/>
          <w:sz w:val="24"/>
          <w:szCs w:val="24"/>
          <w:u w:val="single"/>
        </w:rPr>
        <w:t>Получатель</w:t>
      </w:r>
      <w:r>
        <w:rPr>
          <w:rFonts w:ascii="Times New Roman" w:hAnsi="Times New Roman"/>
          <w:b/>
          <w:bCs/>
          <w:color w:val="000000"/>
          <w:sz w:val="24"/>
          <w:szCs w:val="24"/>
        </w:rPr>
        <w:t xml:space="preserve"> - АО «Российский аукционный дом» (ИНН 7838430413, КПП 783801001):</w:t>
      </w:r>
    </w:p>
    <w:p>
      <w:pPr>
        <w:pStyle w:val="Normal"/>
        <w:bidi w:val="0"/>
        <w:ind w:firstLine="567" w:start="0" w:end="0"/>
        <w:jc w:val="both"/>
        <w:rPr>
          <w:rFonts w:ascii="Times New Roman" w:hAnsi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/>
          <w:b/>
          <w:bCs/>
          <w:color w:val="000000"/>
          <w:sz w:val="24"/>
          <w:szCs w:val="24"/>
        </w:rPr>
        <w:t>р/с № 40702810355000036459 в СЕВЕРО-ЗАПАДНЫЙ БАНК ПАО СБЕРБАНК,</w:t>
      </w:r>
    </w:p>
    <w:p>
      <w:pPr>
        <w:pStyle w:val="Normal"/>
        <w:bidi w:val="0"/>
        <w:ind w:firstLine="567" w:start="0" w:end="0"/>
        <w:jc w:val="both"/>
        <w:rPr>
          <w:rFonts w:ascii="Times New Roman" w:hAnsi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/>
          <w:b/>
          <w:bCs/>
          <w:color w:val="000000"/>
          <w:sz w:val="24"/>
          <w:szCs w:val="24"/>
        </w:rPr>
        <w:t>БИК 044030653, к/с 30101810500000000653.</w:t>
      </w:r>
    </w:p>
    <w:p>
      <w:pPr>
        <w:pStyle w:val="Normal"/>
        <w:bidi w:val="0"/>
        <w:ind w:firstLine="567" w:start="0" w:end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2. Задаток должен быть внесен Претендентом не позднее даты, указанной в сообщении о продаже </w:t>
      </w:r>
      <w:r>
        <w:rPr>
          <w:rFonts w:ascii="Times New Roman" w:hAnsi="Times New Roman"/>
          <w:b/>
          <w:sz w:val="24"/>
          <w:szCs w:val="24"/>
        </w:rPr>
        <w:t>Имущества</w:t>
      </w:r>
      <w:r>
        <w:rPr>
          <w:rFonts w:ascii="Times New Roman" w:hAnsi="Times New Roman"/>
          <w:sz w:val="24"/>
          <w:szCs w:val="24"/>
        </w:rPr>
        <w:t xml:space="preserve"> должника и должен поступить на расчетный счет Оператора электронной площадки, указанный в п.1 настоящего Договора не позднее даты, указанной в сообщении о продаже </w:t>
      </w:r>
      <w:r>
        <w:rPr>
          <w:rFonts w:ascii="Times New Roman" w:hAnsi="Times New Roman"/>
          <w:b/>
          <w:sz w:val="24"/>
          <w:szCs w:val="24"/>
        </w:rPr>
        <w:t>Имущества</w:t>
      </w:r>
      <w:r>
        <w:rPr>
          <w:rFonts w:ascii="Times New Roman" w:hAnsi="Times New Roman"/>
          <w:sz w:val="24"/>
          <w:szCs w:val="24"/>
        </w:rPr>
        <w:t xml:space="preserve"> должника. Задаток считается внесенным с даты поступления всей суммы Задатка на указанный счет.</w:t>
      </w:r>
    </w:p>
    <w:p>
      <w:pPr>
        <w:pStyle w:val="Normal"/>
        <w:overflowPunct w:val="false"/>
        <w:bidi w:val="0"/>
        <w:ind w:firstLine="567" w:start="0" w:end="0"/>
        <w:jc w:val="both"/>
        <w:textAlignment w:val="baseline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В случае, когда сумма Задатка от Претендента не зачислена на расчетный счет Оператора электронной площадки на дату, указанную в сообщении о продаже </w:t>
      </w:r>
      <w:r>
        <w:rPr>
          <w:rFonts w:ascii="Times New Roman" w:hAnsi="Times New Roman"/>
          <w:b/>
          <w:color w:val="000000"/>
          <w:sz w:val="24"/>
          <w:szCs w:val="24"/>
        </w:rPr>
        <w:t xml:space="preserve">Имущества </w:t>
      </w:r>
      <w:r>
        <w:rPr>
          <w:rFonts w:ascii="Times New Roman" w:hAnsi="Times New Roman"/>
          <w:color w:val="000000"/>
          <w:sz w:val="24"/>
          <w:szCs w:val="24"/>
        </w:rPr>
        <w:t>должника, Претендент не допускается к участию в торгах. Представление Претендентом платежных документов с отметкой об исполнении при этом во внимание Организатором торгов не принимается.</w:t>
      </w:r>
    </w:p>
    <w:p>
      <w:pPr>
        <w:pStyle w:val="Normal"/>
        <w:overflowPunct w:val="false"/>
        <w:bidi w:val="0"/>
        <w:ind w:firstLine="567" w:start="0" w:end="0"/>
        <w:jc w:val="both"/>
        <w:textAlignment w:val="baseline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Договор о задатке может быть подписан Претендентом электронной подписью Претендента либо Претендент вправе направить задаток на счет, указанный в п. 1 настоящего Договора без подписания настоящего Договора электронной подписью Претендента (в этом случае перечисление задатка Претендентом в соответствии с сообщением о проведении торгов считается акцептом размещенного на электронной площадке договора о задатке).</w:t>
      </w:r>
    </w:p>
    <w:p>
      <w:pPr>
        <w:pStyle w:val="Normal"/>
        <w:bidi w:val="0"/>
        <w:ind w:firstLine="567" w:start="0" w:end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3. Задаток служит обеспечением исполнения обязательств Претендента по заключению по итогам торгов договора купли-продажи и оплате цены продажи </w:t>
      </w:r>
      <w:r>
        <w:rPr>
          <w:rFonts w:ascii="Times New Roman" w:hAnsi="Times New Roman"/>
          <w:b/>
          <w:color w:val="000000"/>
          <w:sz w:val="24"/>
          <w:szCs w:val="24"/>
        </w:rPr>
        <w:t>Имущества</w:t>
      </w:r>
      <w:r>
        <w:rPr>
          <w:rFonts w:ascii="Times New Roman" w:hAnsi="Times New Roman"/>
          <w:color w:val="000000"/>
          <w:sz w:val="24"/>
          <w:szCs w:val="24"/>
        </w:rPr>
        <w:t xml:space="preserve">, определенной по итогам торгов, </w:t>
      </w:r>
      <w:r>
        <w:rPr>
          <w:rFonts w:ascii="Times New Roman" w:hAnsi="Times New Roman"/>
          <w:sz w:val="24"/>
          <w:szCs w:val="24"/>
        </w:rPr>
        <w:t>и исполнения иных обязательств по заключенному договору купли-продажи имущества</w:t>
      </w:r>
      <w:r>
        <w:rPr>
          <w:rFonts w:ascii="Times New Roman" w:hAnsi="Times New Roman"/>
          <w:color w:val="000000"/>
          <w:sz w:val="24"/>
          <w:szCs w:val="24"/>
        </w:rPr>
        <w:t xml:space="preserve"> в случае признания Претендента победителем торгов.</w:t>
      </w:r>
    </w:p>
    <w:p>
      <w:pPr>
        <w:pStyle w:val="Normal"/>
        <w:bidi w:val="0"/>
        <w:ind w:firstLine="567" w:start="0" w:end="0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4. В платежном документе в графе «назначение платежа» должна содержаться информация: «№ л/с ____________Средства для проведения операций по обеспечению участия в электронных процедурах. НДС не облагается».</w:t>
      </w:r>
    </w:p>
    <w:p>
      <w:pPr>
        <w:pStyle w:val="Normal"/>
        <w:bidi w:val="0"/>
        <w:ind w:firstLine="567" w:start="0" w:end="0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5. Исполнение обязанности по внесению суммы задатка третьими лицами не допускается.</w:t>
      </w:r>
    </w:p>
    <w:p>
      <w:pPr>
        <w:pStyle w:val="Normal"/>
        <w:bidi w:val="0"/>
        <w:ind w:firstLine="567" w:start="0" w:end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6. Сроки и порядок возврата суммы задатка, внесенного Претендентом на счет Оператора электронной площадки определяются Регламентом АО «Российский аукционный дом» О порядке работы с денежными средствами, перечисляемыми в качестве задатка при проведении электронных торгов по продаже имущества (предприятия) должников в ходе процедур, применяемых в деле о банкротстве (далее – Регламент). </w:t>
      </w:r>
    </w:p>
    <w:p>
      <w:pPr>
        <w:pStyle w:val="Normal"/>
        <w:bidi w:val="0"/>
        <w:ind w:firstLine="567" w:start="0" w:end="0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7. В случае наступления, указанных в Регламенте оснований для возврата Оператором электронной площадки Задатка Претенденту, возврат производится путем разблокировки денежных средств   в размере суммы Задатка на лицевом   счете   Претендента. С момента разблокировки суммы Задатка на лицевом счете Претендента обязательства Оператора электронной площадки по возврату Задатка считаются исполненными.</w:t>
      </w:r>
    </w:p>
    <w:p>
      <w:pPr>
        <w:pStyle w:val="Normal"/>
        <w:bidi w:val="0"/>
        <w:ind w:firstLine="567" w:start="0" w:end="0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8. Все возможные споры и разногласия, связанные с исполнением настоящего Договора, будут разрешаться Сторонами путем переговоров. В случае невозможности разрешения споров и разногласий путем переговоров они подлежат рассмотрению в арбитражном суде или в суде общей юрисдикции в соответствии с их компетенцией по месту нахождения Оператора электронной площадки.</w:t>
      </w:r>
    </w:p>
    <w:p>
      <w:pPr>
        <w:pStyle w:val="Normal"/>
        <w:bidi w:val="0"/>
        <w:ind w:firstLine="567" w:start="0" w:end="0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9. Фактом внесения денежных средств в качестве Задатка на участие в электронных торгах Претендент подтверждает согласие со всеми условиями проведения торгов, условиями настоящего Договора, условиями договора купли-продажи, подлежащего заключению по итогам торгов. </w:t>
      </w:r>
    </w:p>
    <w:p>
      <w:pPr>
        <w:pStyle w:val="Normal"/>
        <w:bidi w:val="0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</w:r>
    </w:p>
    <w:p>
      <w:pPr>
        <w:pStyle w:val="Normal"/>
        <w:bidi w:val="0"/>
        <w:ind w:firstLine="284" w:start="0" w:end="0"/>
        <w:jc w:val="center"/>
        <w:rPr>
          <w:rFonts w:ascii="Times New Roman" w:hAnsi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/>
          <w:b/>
          <w:bCs/>
          <w:color w:val="000000"/>
          <w:sz w:val="24"/>
          <w:szCs w:val="24"/>
        </w:rPr>
        <w:t>Реквизиты сторон:</w:t>
      </w:r>
    </w:p>
    <w:p>
      <w:pPr>
        <w:pStyle w:val="Normal"/>
        <w:bidi w:val="0"/>
        <w:ind w:firstLine="284" w:start="0" w:end="0"/>
        <w:jc w:val="center"/>
        <w:rPr>
          <w:rFonts w:ascii="Times New Roman" w:hAnsi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/>
          <w:b/>
          <w:bCs/>
          <w:color w:val="000000"/>
          <w:sz w:val="24"/>
          <w:szCs w:val="24"/>
        </w:rPr>
      </w:r>
    </w:p>
    <w:tbl>
      <w:tblPr>
        <w:tblW w:w="9824" w:type="dxa"/>
        <w:jc w:val="start"/>
        <w:tblInd w:w="-108" w:type="dxa"/>
        <w:tblLayout w:type="fixed"/>
        <w:tblCellMar>
          <w:top w:w="0" w:type="dxa"/>
          <w:start w:w="108" w:type="dxa"/>
          <w:bottom w:w="0" w:type="dxa"/>
          <w:end w:w="108" w:type="dxa"/>
        </w:tblCellMar>
      </w:tblPr>
      <w:tblGrid>
        <w:gridCol w:w="4786"/>
        <w:gridCol w:w="762"/>
        <w:gridCol w:w="4276"/>
      </w:tblGrid>
      <w:tr>
        <w:trPr>
          <w:trHeight w:val="3059" w:hRule="atLeast"/>
        </w:trPr>
        <w:tc>
          <w:tcPr>
            <w:tcW w:w="4786" w:type="dxa"/>
            <w:tcBorders/>
          </w:tcPr>
          <w:p>
            <w:pPr>
              <w:pStyle w:val="Normal"/>
              <w:bidi w:val="0"/>
              <w:jc w:val="start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Оператор электронной площадки:</w:t>
            </w:r>
          </w:p>
          <w:p>
            <w:pPr>
              <w:pStyle w:val="Normal"/>
              <w:bidi w:val="0"/>
              <w:jc w:val="start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Акционерное общество</w:t>
            </w:r>
          </w:p>
          <w:p>
            <w:pPr>
              <w:pStyle w:val="Normal"/>
              <w:bidi w:val="0"/>
              <w:jc w:val="start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«Российский аукционный дом»</w:t>
            </w:r>
          </w:p>
          <w:p>
            <w:pPr>
              <w:pStyle w:val="Normal"/>
              <w:bidi w:val="0"/>
              <w:jc w:val="start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r>
          </w:p>
          <w:p>
            <w:pPr>
              <w:pStyle w:val="Normal"/>
              <w:bidi w:val="0"/>
              <w:jc w:val="star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Адрес для корреспонденции:</w:t>
            </w:r>
          </w:p>
          <w:p>
            <w:pPr>
              <w:pStyle w:val="Normal"/>
              <w:bidi w:val="0"/>
              <w:jc w:val="star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190000 Санкт-Петербург,</w:t>
            </w:r>
          </w:p>
          <w:p>
            <w:pPr>
              <w:pStyle w:val="Normal"/>
              <w:bidi w:val="0"/>
              <w:jc w:val="star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пер. Гривцова, д.5, лит. В</w:t>
            </w:r>
          </w:p>
          <w:p>
            <w:pPr>
              <w:pStyle w:val="Normal"/>
              <w:bidi w:val="0"/>
              <w:jc w:val="star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тел. 8 (800) 777-57-57</w:t>
            </w:r>
          </w:p>
          <w:p>
            <w:pPr>
              <w:pStyle w:val="Normal"/>
              <w:bidi w:val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</w:r>
          </w:p>
          <w:p>
            <w:pPr>
              <w:pStyle w:val="Normal"/>
              <w:tabs>
                <w:tab w:val="clear" w:pos="709"/>
                <w:tab w:val="left" w:pos="1580" w:leader="none"/>
              </w:tabs>
              <w:bidi w:val="0"/>
              <w:jc w:val="star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ОГРН: 1097847233351, ИНН: 7838430413, КПП: 783801001</w:t>
            </w:r>
          </w:p>
          <w:p>
            <w:pPr>
              <w:pStyle w:val="Normal"/>
              <w:tabs>
                <w:tab w:val="clear" w:pos="709"/>
                <w:tab w:val="left" w:pos="1580" w:leader="none"/>
              </w:tabs>
              <w:bidi w:val="0"/>
              <w:jc w:val="star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р/с № 40702810355000036459</w:t>
            </w:r>
          </w:p>
          <w:p>
            <w:pPr>
              <w:pStyle w:val="Normal"/>
              <w:tabs>
                <w:tab w:val="clear" w:pos="709"/>
                <w:tab w:val="left" w:pos="1580" w:leader="none"/>
              </w:tabs>
              <w:bidi w:val="0"/>
              <w:jc w:val="star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СЕВЕРО-ЗАПАДНЫЙ БАНК ПАО СБЕРБАНК</w:t>
            </w:r>
          </w:p>
          <w:p>
            <w:pPr>
              <w:pStyle w:val="Normal"/>
              <w:tabs>
                <w:tab w:val="clear" w:pos="709"/>
                <w:tab w:val="left" w:pos="1580" w:leader="none"/>
              </w:tabs>
              <w:bidi w:val="0"/>
              <w:jc w:val="star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БИК 044030653</w:t>
            </w:r>
          </w:p>
          <w:p>
            <w:pPr>
              <w:pStyle w:val="Normal"/>
              <w:tabs>
                <w:tab w:val="clear" w:pos="709"/>
                <w:tab w:val="left" w:pos="1580" w:leader="none"/>
              </w:tabs>
              <w:bidi w:val="0"/>
              <w:jc w:val="star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bookmarkStart w:id="0" w:name="_Hlk12535521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к/с 30101810500000000653</w:t>
            </w:r>
            <w:bookmarkEnd w:id="0"/>
          </w:p>
        </w:tc>
        <w:tc>
          <w:tcPr>
            <w:tcW w:w="762" w:type="dxa"/>
            <w:tcBorders/>
          </w:tcPr>
          <w:p>
            <w:pPr>
              <w:pStyle w:val="Normal"/>
              <w:bidi w:val="0"/>
              <w:snapToGrid w:val="false"/>
              <w:ind w:firstLine="284" w:start="0" w:end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</w:r>
          </w:p>
        </w:tc>
        <w:tc>
          <w:tcPr>
            <w:tcW w:w="4276" w:type="dxa"/>
            <w:tcBorders/>
          </w:tcPr>
          <w:p>
            <w:pPr>
              <w:pStyle w:val="Normal"/>
              <w:bidi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ab/>
            </w: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ПРЕТЕНДЕНТ:</w:t>
            </w:r>
          </w:p>
          <w:p>
            <w:pPr>
              <w:pStyle w:val="Normal"/>
              <w:bidi w:val="0"/>
              <w:jc w:val="both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_________________________________</w:t>
            </w:r>
          </w:p>
          <w:p>
            <w:pPr>
              <w:pStyle w:val="Normal"/>
              <w:bidi w:val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_________________________________</w:t>
            </w:r>
          </w:p>
          <w:p>
            <w:pPr>
              <w:pStyle w:val="Normal"/>
              <w:bidi w:val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_________________________________</w:t>
            </w:r>
          </w:p>
          <w:p>
            <w:pPr>
              <w:pStyle w:val="Normal"/>
              <w:bidi w:val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_________________________________</w:t>
            </w:r>
          </w:p>
          <w:p>
            <w:pPr>
              <w:pStyle w:val="Normal"/>
              <w:bidi w:val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_________________________________</w:t>
            </w:r>
          </w:p>
          <w:p>
            <w:pPr>
              <w:pStyle w:val="Normal"/>
              <w:bidi w:val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_________________________________</w:t>
            </w:r>
          </w:p>
          <w:p>
            <w:pPr>
              <w:pStyle w:val="Normal"/>
              <w:bidi w:val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_________________________________</w:t>
            </w:r>
          </w:p>
          <w:p>
            <w:pPr>
              <w:pStyle w:val="Normal"/>
              <w:bidi w:val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</w:r>
          </w:p>
        </w:tc>
      </w:tr>
    </w:tbl>
    <w:p>
      <w:pPr>
        <w:pStyle w:val="Normal"/>
        <w:bidi w:val="0"/>
        <w:ind w:firstLine="284" w:start="0" w:end="0"/>
        <w:jc w:val="both"/>
        <w:rPr>
          <w:rFonts w:ascii="Times New Roman" w:hAnsi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/>
          <w:b/>
          <w:bCs/>
          <w:color w:val="000000"/>
          <w:sz w:val="24"/>
          <w:szCs w:val="24"/>
        </w:rPr>
        <w:t xml:space="preserve"/>
      </w:r>
    </w:p>
    <w:p>
      <w:pPr>
        <w:pStyle w:val="Normal"/>
        <w:bidi w:val="0"/>
        <w:ind w:firstLine="284" w:start="0" w:end="0"/>
        <w:jc w:val="both"/>
        <w:rPr>
          <w:rFonts w:ascii="Times New Roman" w:hAnsi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/>
          <w:b/>
          <w:bCs/>
          <w:color w:val="000000"/>
          <w:sz w:val="24"/>
          <w:szCs w:val="24"/>
        </w:rPr>
        <w:t xml:space="preserve"/>
      </w:r>
      <w:r>
        <w:rPr>
          <w:rFonts w:ascii="Times New Roman" w:hAnsi="Times New Roman"/>
          <w:b/>
          <w:bCs/>
          <w:color w:val="000000"/>
          <w:sz w:val="24"/>
          <w:szCs w:val="24"/>
        </w:rPr>
        <w:t xml:space="preserve">От Оператора электронной площадки </w:t>
        <w:tab/>
        <w:tab/>
        <w:tab/>
        <w:tab/>
        <w:t>ОТ ПРЕТЕНДЕНТА</w:t>
      </w:r>
    </w:p>
    <w:p>
      <w:pPr>
        <w:pStyle w:val="Normal"/>
        <w:bidi w:val="0"/>
        <w:jc w:val="start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_____________________/ Е.В. Канцерова/</w:t>
        <w:tab/>
        <w:t xml:space="preserve">                       ________________________/_________</w:t>
      </w:r>
    </w:p>
    <w:p>
      <w:pPr>
        <w:pStyle w:val="Normal"/>
        <w:bidi w:val="0"/>
        <w:jc w:val="start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</w:r>
    </w:p>
    <w:p>
      <w:pPr>
        <w:pStyle w:val="Normal"/>
        <w:bidi w:val="0"/>
        <w:jc w:val="start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</w:r>
    </w:p>
    <w:p>
      <w:pPr>
        <w:pStyle w:val="Normal"/>
        <w:bidi w:val="0"/>
        <w:ind w:firstLine="708" w:start="0" w:end="0"/>
        <w:jc w:val="start"/>
        <w:rPr>
          <w:rFonts w:ascii="Times New Roman" w:hAnsi="Times New Roman"/>
          <w:b/>
          <w:color w:val="000000"/>
          <w:sz w:val="24"/>
          <w:szCs w:val="24"/>
        </w:rPr>
      </w:pPr>
      <w:r>
        <w:rPr>
          <w:rFonts w:ascii="Times New Roman" w:hAnsi="Times New Roman"/>
          <w:b/>
          <w:color w:val="000000"/>
          <w:sz w:val="24"/>
          <w:szCs w:val="24"/>
        </w:rPr>
        <w:t xml:space="preserve">Организатор торгов </w:t>
      </w:r>
    </w:p>
    <w:p>
      <w:pPr>
        <w:pStyle w:val="Normal"/>
        <w:bidi w:val="0"/>
        <w:ind w:firstLine="708" w:start="0" w:end="0"/>
        <w:jc w:val="start"/>
        <w:rPr>
          <w:rFonts w:ascii="Times New Roman" w:hAnsi="Times New Roman"/>
          <w:b/>
          <w:color w:val="000000"/>
          <w:sz w:val="24"/>
          <w:szCs w:val="24"/>
        </w:rPr>
      </w:pPr>
      <w:r>
        <w:rPr>
          <w:rFonts w:ascii="Times New Roman" w:hAnsi="Times New Roman"/>
          <w:b/>
          <w:color w:val="000000"/>
          <w:sz w:val="24"/>
          <w:szCs w:val="24"/>
        </w:rPr>
      </w:r>
    </w:p>
    <w:p>
      <w:pPr>
        <w:pStyle w:val="Normal"/>
        <w:bidi w:val="0"/>
        <w:ind w:firstLine="708" w:start="0" w:end="0"/>
        <w:jc w:val="start"/>
        <w:rPr>
          <w:rFonts w:ascii="Times New Roman" w:hAnsi="Times New Roman"/>
          <w:b/>
          <w:color w:val="000000"/>
          <w:sz w:val="24"/>
          <w:szCs w:val="24"/>
        </w:rPr>
      </w:pPr>
      <w:r>
        <w:rPr>
          <w:rFonts w:ascii="Times New Roman" w:hAnsi="Times New Roman"/>
          <w:b/>
          <w:color w:val="000000"/>
          <w:sz w:val="24"/>
          <w:szCs w:val="24"/>
        </w:rPr>
      </w:r>
    </w:p>
    <w:p>
      <w:pPr>
        <w:pStyle w:val="Normal"/>
        <w:bidi w:val="0"/>
        <w:ind w:firstLine="284" w:start="0" w:end="0"/>
        <w:jc w:val="both"/>
        <w:rPr>
          <w:rFonts w:ascii="Times New Roman" w:hAnsi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/>
          <w:b/>
          <w:bCs/>
          <w:color w:val="000000"/>
          <w:sz w:val="24"/>
          <w:szCs w:val="24"/>
        </w:rPr>
        <w:t xml:space="preserve"/>
      </w:r>
      <w:r>
        <w:rPr>
          <w:rFonts w:ascii="Times New Roman" w:hAnsi="Times New Roman"/>
          <w:b/>
          <w:bCs/>
          <w:color w:val="000000"/>
          <w:sz w:val="24"/>
          <w:szCs w:val="24"/>
        </w:rPr>
        <w:t>От Организатора торгов</w:t>
      </w:r>
    </w:p>
    <w:p>
      <w:pPr>
        <w:pStyle w:val="Normal"/>
        <w:bidi w:val="0"/>
        <w:ind w:firstLine="284" w:start="0" w:end="0"/>
        <w:jc w:val="both"/>
        <w:rPr>
          <w:rFonts w:ascii="Times New Roman" w:hAnsi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/>
          <w:b/>
          <w:bCs/>
          <w:color w:val="000000"/>
          <w:sz w:val="24"/>
          <w:szCs w:val="24"/>
        </w:rPr>
      </w:r>
    </w:p>
    <w:p>
      <w:pPr>
        <w:pStyle w:val="Normal"/>
        <w:bidi w:val="0"/>
        <w:ind w:firstLine="284" w:start="0" w:end="0"/>
        <w:jc w:val="both"/>
        <w:rPr>
          <w:rFonts w:ascii="Times New Roman" w:hAnsi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/>
          <w:b/>
          <w:bCs/>
          <w:color w:val="000000"/>
          <w:sz w:val="24"/>
          <w:szCs w:val="24"/>
        </w:rPr>
        <w:t xml:space="preserve"/>
      </w:r>
      <w:r>
        <w:rPr>
          <w:rFonts w:ascii="Times New Roman" w:hAnsi="Times New Roman"/>
          <w:b/>
          <w:bCs/>
          <w:color w:val="000000"/>
          <w:sz w:val="24"/>
          <w:szCs w:val="24"/>
        </w:rPr>
        <w:tab/>
        <w:tab/>
        <w:tab/>
        <w:tab/>
      </w:r>
    </w:p>
    <w:p>
      <w:pPr>
        <w:pStyle w:val="Normal"/>
        <w:bidi w:val="0"/>
        <w:jc w:val="start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_____________________/</w:t>
      </w:r>
      <w:r>
        <w:rPr>
          <w:rFonts w:ascii="Times New Roman" w:hAnsi="Times New Roman"/>
          <w:color w:val="000000"/>
          <w:sz w:val="24"/>
          <w:szCs w:val="24"/>
          <w:shd w:fill="auto" w:val="clear"/>
        </w:rPr>
        <w:t xml:space="preserve"/>
      </w:r>
      <w:r>
        <w:rPr>
          <w:rFonts w:cs="Times New Roman" w:ascii="Times New Roman" w:hAnsi="Times New Roman"/>
          <w:color w:val="000000"/>
          <w:sz w:val="24"/>
          <w:szCs w:val="24"/>
          <w:shd w:fill="auto" w:val="clear"/>
          <w:lang w:val="ru-RU" w:eastAsia="ru-RU"/>
        </w:rPr>
        <w:t xml:space="preserve">Кириллов Артём Григорьевич </w:t>
      </w:r>
      <w:r>
        <w:rPr>
          <w:rFonts w:ascii="Times New Roman" w:hAnsi="Times New Roman"/>
          <w:color w:val="000000"/>
          <w:sz w:val="24"/>
          <w:szCs w:val="24"/>
          <w:shd w:fill="auto" w:val="clear"/>
        </w:rPr>
        <w:t>/</w:t>
        <w:tab/>
      </w:r>
      <w:r>
        <w:rPr>
          <w:rFonts w:ascii="Times New Roman" w:hAnsi="Times New Roman"/>
          <w:color w:val="000000"/>
          <w:sz w:val="24"/>
          <w:szCs w:val="24"/>
        </w:rPr>
        <w:t xml:space="preserve"/>
      </w:r>
    </w:p>
    <w:sectPr>
      <w:type w:val="nextPage"/>
      <w:pgSz w:w="11906" w:h="16838"/>
      <w:pgMar w:left="1134" w:right="1134" w:gutter="0" w:header="0" w:top="1134" w:footer="0" w:bottom="1134"/>
      <w:pgNumType w:fmt="decimal"/>
      <w:formProt w:val="false"/>
      <w:textDirection w:val="lrTb"/>
      <w:docGrid w:type="default" w:linePitch="600" w:charSpace="32768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 w:characterSet="windows-1252"/>
    <w:family w:val="roman"/>
    <w:pitch w:val="variable"/>
  </w:font>
  <w:font w:name="Symbol">
    <w:charset w:val="02"/>
    <w:family w:val="roman"/>
    <w:pitch w:val="variable"/>
  </w:font>
  <w:font w:name="Arial">
    <w:charset w:val="00" w:characterSet="windows-1252"/>
    <w:family w:val="swiss"/>
    <w:pitch w:val="variable"/>
  </w:font>
  <w:font w:name="Liberation Serif">
    <w:altName w:val="Times New Roman"/>
    <w:charset w:val="01" w:characterSet="utf-8"/>
    <w:family w:val="roman"/>
    <w:pitch w:val="variable"/>
  </w:font>
  <w:font w:name="Liberation Sans">
    <w:altName w:val="Arial"/>
    <w:charset w:val="01" w:characterSet="utf-8"/>
    <w:family w:val="roman"/>
    <w:pitch w:val="variable"/>
  </w:font>
  <w:font w:name="Times New Roman">
    <w:charset w:val="01" w:characterSet="utf-8"/>
    <w:family w:val="roman"/>
    <w:pitch w:val="variable"/>
  </w:font>
</w:fonts>
</file>

<file path=word/settings.xml><?xml version="1.0" encoding="utf-8"?>
<w:settings xmlns:w="http://schemas.openxmlformats.org/wordprocessingml/2006/main">
  <w:zoom w:percent="75"/>
  <w:defaultTabStop w:val="709"/>
  <w:autoHyphenation w:val="true"/>
  <w:compat>
    <w:compatSetting w:name="compatibilityMode" w:uri="http://schemas.microsoft.com/office/word" w:val="15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NSimSun" w:cs="Arial"/>
        <w:kern w:val="2"/>
        <w:sz w:val="24"/>
        <w:szCs w:val="24"/>
        <w:lang w:val="ru-RU" w:eastAsia="zh-CN" w:bidi="hi-IN"/>
      </w:rPr>
    </w:rPrDefault>
    <w:pPrDefault>
      <w:pPr>
        <w:suppressAutoHyphens w:val="true"/>
      </w:pPr>
    </w:pPrDefault>
  </w:docDefaults>
  <w:style w:type="paragraph" w:styleId="Normal">
    <w:name w:val="Normal"/>
    <w:qFormat/>
    <w:pPr>
      <w:widowControl/>
      <w:suppressAutoHyphens w:val="true"/>
      <w:overflowPunct w:val="true"/>
      <w:bidi w:val="0"/>
      <w:spacing w:before="0" w:after="0"/>
      <w:jc w:val="start"/>
    </w:pPr>
    <w:rPr>
      <w:rFonts w:ascii="Liberation Serif" w:hAnsi="Liberation Serif" w:eastAsia="NSimSun" w:cs="Arial"/>
      <w:color w:val="auto"/>
      <w:kern w:val="2"/>
      <w:sz w:val="24"/>
      <w:szCs w:val="24"/>
      <w:lang w:val="ru-RU" w:eastAsia="zh-CN" w:bidi="hi-IN"/>
    </w:rPr>
  </w:style>
  <w:style w:type="paragraph" w:styleId="Style14">
    <w:name w:val="Заголовок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cs="Arial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Style15">
    <w:name w:val="Указатель"/>
    <w:basedOn w:val="Normal"/>
    <w:qFormat/>
    <w:pPr>
      <w:suppressLineNumbers/>
    </w:pPr>
    <w:rPr>
      <w:rFonts w:cs="Arial"/>
    </w:rPr>
  </w:style>
  <w:style w:type="paragraph" w:styleId="Style16">
    <w:name w:val="Содержимое таблицы"/>
    <w:basedOn w:val="Normal"/>
    <w:qFormat/>
    <w:pPr>
      <w:widowControl w:val="false"/>
      <w:suppressLineNumbers/>
    </w:pPr>
    <w:rPr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<Relationship Id="rId4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Office">
  <a:themeElements>
    <a:clrScheme name="LibreOffice">
      <a:dk1>
        <a:srgbClr val="000000"/>
      </a:dk1>
      <a:lt1>
        <a:srgbClr val="ffffff"/>
      </a:lt1>
      <a:dk2>
        <a:srgbClr val="000000"/>
      </a:dk2>
      <a:lt2>
        <a:srgbClr val="ffffff"/>
      </a:lt2>
      <a:accent1>
        <a:srgbClr val="18a303"/>
      </a:accent1>
      <a:accent2>
        <a:srgbClr val="0369a3"/>
      </a:accent2>
      <a:accent3>
        <a:srgbClr val="a33e03"/>
      </a:accent3>
      <a:accent4>
        <a:srgbClr val="8e03a3"/>
      </a:accent4>
      <a:accent5>
        <a:srgbClr val="c99c00"/>
      </a:accent5>
      <a:accent6>
        <a:srgbClr val="c9211e"/>
      </a:accent6>
      <a:hlink>
        <a:srgbClr val="0000ee"/>
      </a:hlink>
      <a:folHlink>
        <a:srgbClr val="551a8b"/>
      </a:folHlink>
    </a:clrScheme>
    <a:fontScheme name="Office">
      <a:majorFont>
        <a:latin typeface="Arial" pitchFamily="0" charset="1"/>
        <a:ea typeface="DejaVu Sans" pitchFamily="0" charset="1"/>
        <a:cs typeface="DejaVu Sans" pitchFamily="0" charset="1"/>
      </a:majorFont>
      <a:minorFont>
        <a:latin typeface="Arial" pitchFamily="0" charset="1"/>
        <a:ea typeface="DejaVu Sans" pitchFamily="0" charset="1"/>
        <a:cs typeface="DejaVu Sans" pitchFamily="0" charset="1"/>
      </a:minorFont>
    </a:fontScheme>
    <a:fmtScheme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 cap="flat" cmpd="sng" algn="ctr">
          <a:prstDash val="solid"/>
          <a:miter/>
        </a:ln>
        <a:ln w="6350" cap="flat" cmpd="sng" algn="ctr">
          <a:prstDash val="solid"/>
          <a:miter/>
        </a:ln>
        <a:ln w="6350" cap="flat" cmpd="sng" algn="ctr"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21</TotalTime>
  <Application>LibreOffice/24.2.4.2$MacOSX_AARCH64 LibreOffice_project/51a6219feb6075d9a4c46691dcfe0cd9c4fff3c2</Application>
  <AppVersion>15.0000</AppVersion>
  <Pages>2</Pages>
  <Words>657</Words>
  <Characters>5017</Characters>
  <CharactersWithSpaces>5716</CharactersWithSpaces>
  <Paragraphs>45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2024-07-18T12:43:34Z</dcterms:created>
  <dc:creator/>
  <dc:description/>
  <dc:language>ru-RU</dc:language>
  <cp:lastModifiedBy/>
  <dcterms:modified xsi:type="dcterms:W3CDTF">2024-12-25T19:43:55Z</dcterms:modified>
  <cp:revision>10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