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6198" w14:textId="38A00E83" w:rsidR="00CB638E" w:rsidRDefault="00CB638E" w:rsidP="00CB638E">
      <w:pPr>
        <w:spacing w:after="0" w:line="240" w:lineRule="auto"/>
        <w:ind w:firstLine="567"/>
        <w:jc w:val="both"/>
      </w:pPr>
      <w:r>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Pr>
          <w:rFonts w:ascii="Times New Roman" w:hAnsi="Times New Roman" w:cs="Times New Roman"/>
          <w:color w:val="000000"/>
          <w:sz w:val="24"/>
          <w:szCs w:val="24"/>
        </w:rPr>
        <w:t>лит.В</w:t>
      </w:r>
      <w:proofErr w:type="spellEnd"/>
      <w:r>
        <w:rPr>
          <w:rFonts w:ascii="Times New Roman" w:hAnsi="Times New Roman" w:cs="Times New Roman"/>
          <w:color w:val="000000"/>
          <w:sz w:val="24"/>
          <w:szCs w:val="24"/>
        </w:rPr>
        <w:t xml:space="preserve">, (812)334-26-04, 8(800) 777-57-57, </w:t>
      </w:r>
      <w:r w:rsidR="008113FD" w:rsidRPr="008113FD">
        <w:rPr>
          <w:rFonts w:ascii="Times New Roman" w:hAnsi="Times New Roman" w:cs="Times New Roman"/>
          <w:color w:val="000000"/>
          <w:sz w:val="24"/>
          <w:szCs w:val="24"/>
        </w:rPr>
        <w:t xml:space="preserve">ersh@auction-house.ru) (далее - Организатор торгов, ОТ), действующее на основании договора с Публичным акционерным обществом «Уральский Транспортный Банк» (ПАО «Уралтрансбанк»), (адрес регистрации: 620027, Свердловская область, г. Екатеринбург, ул. </w:t>
      </w:r>
      <w:proofErr w:type="spellStart"/>
      <w:r w:rsidR="008113FD" w:rsidRPr="008113FD">
        <w:rPr>
          <w:rFonts w:ascii="Times New Roman" w:hAnsi="Times New Roman" w:cs="Times New Roman"/>
          <w:color w:val="000000"/>
          <w:sz w:val="24"/>
          <w:szCs w:val="24"/>
        </w:rPr>
        <w:t>Мельковская</w:t>
      </w:r>
      <w:proofErr w:type="spellEnd"/>
      <w:r w:rsidR="008113FD" w:rsidRPr="008113FD">
        <w:rPr>
          <w:rFonts w:ascii="Times New Roman" w:hAnsi="Times New Roman" w:cs="Times New Roman"/>
          <w:color w:val="000000"/>
          <w:sz w:val="24"/>
          <w:szCs w:val="24"/>
        </w:rPr>
        <w:t>, д. 2, Б, ИНН 6608001305, ОГРН 1026600001779) (далее – финансовая организация), конкурсным управляющим (ликвидатором) которого на основании решения Арбитражного суда Свердловской области от 27 декабря 2018 г. по делу №А60-65929/2018 является государственная корпорация «Агентство по страхованию вкладов» (109240, г. Москва, ул. Высоцкого, д. 4</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 xml:space="preserve">(далее – КУ), проводит электронные </w:t>
      </w:r>
      <w:r>
        <w:rPr>
          <w:rFonts w:ascii="Times New Roman" w:hAnsi="Times New Roman" w:cs="Times New Roman"/>
          <w:b/>
          <w:color w:val="000000"/>
          <w:sz w:val="24"/>
          <w:szCs w:val="24"/>
        </w:rPr>
        <w:t>торги</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
    <w:p w14:paraId="5EE8F05B" w14:textId="6DFCD408" w:rsidR="00950CC9" w:rsidRPr="00AE1E52" w:rsidRDefault="00950C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7642D">
        <w:rPr>
          <w:rFonts w:ascii="Times New Roman" w:hAnsi="Times New Roman" w:cs="Times New Roman"/>
          <w:color w:val="000000"/>
          <w:sz w:val="24"/>
          <w:szCs w:val="24"/>
        </w:rPr>
        <w:t xml:space="preserve">Предметом </w:t>
      </w:r>
      <w:r w:rsidRPr="00AE1E52">
        <w:rPr>
          <w:rFonts w:ascii="Times New Roman" w:hAnsi="Times New Roman" w:cs="Times New Roman"/>
          <w:color w:val="000000"/>
          <w:sz w:val="24"/>
          <w:szCs w:val="24"/>
        </w:rPr>
        <w:t xml:space="preserve">Торгов является следующее имущество: </w:t>
      </w:r>
    </w:p>
    <w:p w14:paraId="3075D54B" w14:textId="0EF59A8B" w:rsidR="008113FD" w:rsidRPr="008113FD" w:rsidRDefault="008113FD" w:rsidP="008113F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CYR" w:hAnsi="Times New Roman CYR" w:cs="Times New Roman CYR"/>
          <w:color w:val="000000"/>
        </w:rPr>
      </w:pPr>
      <w:r>
        <w:rPr>
          <w:rFonts w:ascii="Times New Roman CYR" w:hAnsi="Times New Roman CYR" w:cs="Times New Roman CYR"/>
          <w:color w:val="000000"/>
        </w:rPr>
        <w:t xml:space="preserve">Лот </w:t>
      </w:r>
      <w:r w:rsidRPr="008113FD">
        <w:rPr>
          <w:rFonts w:ascii="Times New Roman CYR" w:hAnsi="Times New Roman CYR" w:cs="Times New Roman CYR"/>
          <w:color w:val="000000"/>
        </w:rPr>
        <w:t>1</w:t>
      </w:r>
      <w:r>
        <w:rPr>
          <w:rFonts w:ascii="Times New Roman CYR" w:hAnsi="Times New Roman CYR" w:cs="Times New Roman CYR"/>
          <w:color w:val="000000"/>
        </w:rPr>
        <w:t xml:space="preserve"> - </w:t>
      </w:r>
      <w:r w:rsidRPr="008113FD">
        <w:rPr>
          <w:rFonts w:ascii="Times New Roman CYR" w:hAnsi="Times New Roman CYR" w:cs="Times New Roman CYR"/>
          <w:color w:val="000000"/>
        </w:rPr>
        <w:t>SETRA-S-215НD, зеленый, 1982, 790 000 км, 10.3 МТ (137 л.с.), дизель, задний, VIN отсутствует, № кузова VS9245HD0M1001892, в моторном отсеке отсутствуют ремни, отсутствуют фары, элемент бампера, часть приборов на панели, отдельные узлы, ключи от транспортного средства, СТС, г. Пермь, ограничения и обременения: запреты на регистрационные действия, ведется работа по снятию запретов, отсутствует регистрация ТС в ГИБДД на Банк, перерегистрация автомобиля на нового владельца будет осуществлена после заключения договора купли-продажи</w:t>
      </w:r>
      <w:r>
        <w:rPr>
          <w:rFonts w:ascii="Times New Roman CYR" w:hAnsi="Times New Roman CYR" w:cs="Times New Roman CYR"/>
          <w:color w:val="000000"/>
        </w:rPr>
        <w:t xml:space="preserve"> - </w:t>
      </w:r>
      <w:r w:rsidRPr="008113FD">
        <w:rPr>
          <w:rFonts w:ascii="Times New Roman CYR" w:hAnsi="Times New Roman CYR" w:cs="Times New Roman CYR"/>
          <w:color w:val="000000"/>
        </w:rPr>
        <w:t>612 000,00</w:t>
      </w:r>
      <w:r>
        <w:rPr>
          <w:rFonts w:ascii="Times New Roman CYR" w:hAnsi="Times New Roman CYR" w:cs="Times New Roman CYR"/>
          <w:color w:val="000000"/>
        </w:rPr>
        <w:t xml:space="preserve"> руб.;</w:t>
      </w:r>
    </w:p>
    <w:p w14:paraId="33846308" w14:textId="23206FFE" w:rsidR="008113FD" w:rsidRPr="008113FD" w:rsidRDefault="008113FD" w:rsidP="008113F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rFonts w:ascii="Times New Roman CYR" w:hAnsi="Times New Roman CYR" w:cs="Times New Roman CYR"/>
          <w:color w:val="000000"/>
        </w:rPr>
      </w:pPr>
      <w:r>
        <w:rPr>
          <w:rFonts w:ascii="Times New Roman CYR" w:hAnsi="Times New Roman CYR" w:cs="Times New Roman CYR"/>
          <w:color w:val="000000"/>
        </w:rPr>
        <w:t xml:space="preserve">Лот </w:t>
      </w:r>
      <w:r w:rsidRPr="008113FD">
        <w:rPr>
          <w:rFonts w:ascii="Times New Roman CYR" w:hAnsi="Times New Roman CYR" w:cs="Times New Roman CYR"/>
          <w:color w:val="000000"/>
        </w:rPr>
        <w:t>2</w:t>
      </w:r>
      <w:r>
        <w:rPr>
          <w:rFonts w:ascii="Times New Roman CYR" w:hAnsi="Times New Roman CYR" w:cs="Times New Roman CYR"/>
          <w:color w:val="000000"/>
        </w:rPr>
        <w:t xml:space="preserve"> - </w:t>
      </w:r>
      <w:r w:rsidRPr="008113FD">
        <w:rPr>
          <w:rFonts w:ascii="Times New Roman CYR" w:hAnsi="Times New Roman CYR" w:cs="Times New Roman CYR"/>
          <w:color w:val="000000"/>
        </w:rPr>
        <w:t>INTERNATIONAL 9800, бежевый, 1998, 928 864 км, 10.8 МТ (330 л.с.), дизель, задний, VIN 1HSRUAHR6XH593158, разбит задний левый фонарь, трещины на лобовом стекле, отсутствуют аккумуляторы, задний амортизатор, противотуманная фара, ключи от транспортного средства, СТС, г. Екатеринбург, ограничения и обременения: запреты на регистрационные действия, ведется работа по снятию запретов, отсутствует регистрация ТС в ГИБДД на Банк, перерегистрация автомобиля на нового владельца будет осуществлена после заключения договора купли-продажи</w:t>
      </w:r>
      <w:r>
        <w:rPr>
          <w:rFonts w:ascii="Times New Roman CYR" w:hAnsi="Times New Roman CYR" w:cs="Times New Roman CYR"/>
          <w:color w:val="000000"/>
        </w:rPr>
        <w:t xml:space="preserve"> - </w:t>
      </w:r>
      <w:r w:rsidRPr="008113FD">
        <w:rPr>
          <w:rFonts w:ascii="Times New Roman CYR" w:hAnsi="Times New Roman CYR" w:cs="Times New Roman CYR"/>
          <w:color w:val="000000"/>
        </w:rPr>
        <w:t>520 200,00</w:t>
      </w:r>
      <w:r>
        <w:rPr>
          <w:rFonts w:ascii="Times New Roman CYR" w:hAnsi="Times New Roman CYR" w:cs="Times New Roman CYR"/>
          <w:color w:val="000000"/>
        </w:rPr>
        <w:t xml:space="preserve"> руб.;</w:t>
      </w:r>
    </w:p>
    <w:p w14:paraId="57CE5367" w14:textId="0D2CA47C" w:rsidR="008113FD" w:rsidRDefault="008113FD"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Pr>
          <w:rFonts w:ascii="Times New Roman CYR" w:hAnsi="Times New Roman CYR" w:cs="Times New Roman CYR"/>
          <w:color w:val="000000"/>
        </w:rPr>
        <w:t xml:space="preserve">Лот </w:t>
      </w:r>
      <w:r w:rsidRPr="008113FD">
        <w:rPr>
          <w:rFonts w:ascii="Times New Roman CYR" w:hAnsi="Times New Roman CYR" w:cs="Times New Roman CYR"/>
          <w:color w:val="000000"/>
        </w:rPr>
        <w:t>3</w:t>
      </w:r>
      <w:r>
        <w:rPr>
          <w:rFonts w:ascii="Times New Roman CYR" w:hAnsi="Times New Roman CYR" w:cs="Times New Roman CYR"/>
          <w:color w:val="000000"/>
        </w:rPr>
        <w:t xml:space="preserve"> - </w:t>
      </w:r>
      <w:r w:rsidRPr="008113FD">
        <w:rPr>
          <w:rFonts w:ascii="Times New Roman CYR" w:hAnsi="Times New Roman CYR" w:cs="Times New Roman CYR"/>
          <w:color w:val="000000"/>
        </w:rPr>
        <w:t>Chevrolet Niva, серебристый, 2008, 120 246 км, 1.7 МТ (79,6 л. с.), бензин, полный, VIN X9L21230080209973, универсал, в рабочем состоянии, сквозная коррозия на порогах и днище кузова, сколы и потертости кузова, износ покрышек, аккумулятор разряжен, СТС и ПТС отсутствуют, г. Екатеринбург, ограничения и обременения: запреты на регистрационные действия, ведется работа по снятию запретов, отсутствует регистрация ТС в ГИБДД на Банк, перерегистрация автомобиля на нового владельца будет осуществлена после заключения договора купли-продажи</w:t>
      </w:r>
      <w:r>
        <w:rPr>
          <w:rFonts w:ascii="Times New Roman CYR" w:hAnsi="Times New Roman CYR" w:cs="Times New Roman CYR"/>
          <w:color w:val="000000"/>
        </w:rPr>
        <w:t xml:space="preserve"> - </w:t>
      </w:r>
      <w:r w:rsidRPr="008113FD">
        <w:rPr>
          <w:rFonts w:ascii="Times New Roman CYR" w:hAnsi="Times New Roman CYR" w:cs="Times New Roman CYR"/>
          <w:color w:val="000000"/>
        </w:rPr>
        <w:t>209 000,00</w:t>
      </w:r>
      <w:r>
        <w:rPr>
          <w:rFonts w:ascii="Times New Roman CYR" w:hAnsi="Times New Roman CYR" w:cs="Times New Roman CYR"/>
          <w:color w:val="000000"/>
        </w:rPr>
        <w:t xml:space="preserve"> руб.</w:t>
      </w:r>
    </w:p>
    <w:p w14:paraId="72CEA841" w14:textId="4AB4F0B1"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37642D">
        <w:rPr>
          <w:rFonts w:ascii="Times New Roman CYR" w:hAnsi="Times New Roman CYR" w:cs="Times New Roman CYR"/>
          <w:color w:val="000000"/>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37642D">
          <w:rPr>
            <w:rStyle w:val="a4"/>
            <w:rFonts w:ascii="Times New Roman CYR" w:hAnsi="Times New Roman CYR" w:cs="Times New Roman CYR"/>
          </w:rPr>
          <w:t>www.asv.org.ru</w:t>
        </w:r>
      </w:hyperlink>
      <w:r w:rsidRPr="0037642D">
        <w:rPr>
          <w:rFonts w:ascii="Times New Roman CYR" w:hAnsi="Times New Roman CYR" w:cs="Times New Roman CYR"/>
          <w:color w:val="000000"/>
        </w:rPr>
        <w:t xml:space="preserve">, </w:t>
      </w:r>
      <w:hyperlink r:id="rId5" w:history="1">
        <w:r w:rsidRPr="0037642D">
          <w:rPr>
            <w:rStyle w:val="a4"/>
            <w:color w:val="27509B"/>
            <w:bdr w:val="none" w:sz="0" w:space="0" w:color="auto" w:frame="1"/>
          </w:rPr>
          <w:t>www.torgiasv.ru</w:t>
        </w:r>
      </w:hyperlink>
      <w:r w:rsidRPr="0037642D">
        <w:rPr>
          <w:rFonts w:ascii="Times New Roman CYR" w:hAnsi="Times New Roman CYR" w:cs="Times New Roman CYR"/>
          <w:color w:val="000000"/>
        </w:rPr>
        <w:t xml:space="preserve"> в разделах «Ликвидация Банков» и «Продажа имущества».</w:t>
      </w:r>
    </w:p>
    <w:p w14:paraId="7D19C2F7" w14:textId="5B3E074D"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37642D">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w:t>
      </w:r>
      <w:r w:rsidRPr="00AE1E52">
        <w:rPr>
          <w:rFonts w:ascii="Times New Roman CYR" w:hAnsi="Times New Roman CYR" w:cs="Times New Roman CYR"/>
          <w:color w:val="000000"/>
        </w:rPr>
        <w:t xml:space="preserve">аукциона – </w:t>
      </w:r>
      <w:r w:rsidR="0037642D" w:rsidRPr="00AE1E52">
        <w:rPr>
          <w:rFonts w:ascii="Times New Roman CYR" w:hAnsi="Times New Roman CYR" w:cs="Times New Roman CYR"/>
          <w:color w:val="000000"/>
        </w:rPr>
        <w:t>5</w:t>
      </w:r>
      <w:r w:rsidR="009E7E5E" w:rsidRPr="00AE1E52">
        <w:rPr>
          <w:rFonts w:ascii="Times New Roman CYR" w:hAnsi="Times New Roman CYR" w:cs="Times New Roman CYR"/>
          <w:color w:val="000000"/>
        </w:rPr>
        <w:t xml:space="preserve"> </w:t>
      </w:r>
      <w:r w:rsidR="0037642D" w:rsidRPr="00AE1E52">
        <w:rPr>
          <w:rFonts w:ascii="Times New Roman CYR" w:hAnsi="Times New Roman CYR" w:cs="Times New Roman CYR"/>
          <w:color w:val="000000"/>
        </w:rPr>
        <w:t>(пять)</w:t>
      </w:r>
      <w:r w:rsidRPr="00AE1E52">
        <w:rPr>
          <w:rFonts w:ascii="Times New Roman CYR" w:hAnsi="Times New Roman CYR" w:cs="Times New Roman CYR"/>
          <w:color w:val="000000"/>
        </w:rPr>
        <w:t xml:space="preserve"> процентов</w:t>
      </w:r>
      <w:r w:rsidRPr="0037642D">
        <w:rPr>
          <w:rFonts w:ascii="Times New Roman CYR" w:hAnsi="Times New Roman CYR" w:cs="Times New Roman CYR"/>
          <w:color w:val="000000"/>
        </w:rPr>
        <w:t xml:space="preserve"> от начальной цены продажи предмета Торгов (лота).</w:t>
      </w:r>
    </w:p>
    <w:p w14:paraId="60597996" w14:textId="4D787539"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rFonts w:ascii="Times New Roman CYR" w:hAnsi="Times New Roman CYR" w:cs="Times New Roman CYR"/>
          <w:b/>
          <w:bCs/>
          <w:color w:val="000000"/>
        </w:rPr>
        <w:t>Торги</w:t>
      </w:r>
      <w:r w:rsidRPr="0037642D">
        <w:rPr>
          <w:color w:val="000000"/>
        </w:rPr>
        <w:t xml:space="preserve"> имуществом финансовой организации будут проведены в 14:00 часов по московскому времени</w:t>
      </w:r>
      <w:r w:rsidRPr="0037642D">
        <w:rPr>
          <w:rFonts w:ascii="Times New Roman CYR" w:hAnsi="Times New Roman CYR" w:cs="Times New Roman CYR"/>
          <w:color w:val="000000"/>
        </w:rPr>
        <w:t xml:space="preserve"> </w:t>
      </w:r>
      <w:r w:rsidR="008113FD" w:rsidRPr="008113FD">
        <w:rPr>
          <w:rFonts w:ascii="Times New Roman CYR" w:hAnsi="Times New Roman CYR" w:cs="Times New Roman CYR"/>
          <w:b/>
          <w:bCs/>
          <w:color w:val="000000"/>
        </w:rPr>
        <w:t>15 июля</w:t>
      </w:r>
      <w:r w:rsidR="008113FD">
        <w:rPr>
          <w:rFonts w:ascii="Times New Roman CYR" w:hAnsi="Times New Roman CYR" w:cs="Times New Roman CYR"/>
          <w:color w:val="000000"/>
        </w:rPr>
        <w:t xml:space="preserve"> </w:t>
      </w:r>
      <w:r w:rsidR="00BD0E8E" w:rsidRPr="0037642D">
        <w:rPr>
          <w:b/>
        </w:rPr>
        <w:t>202</w:t>
      </w:r>
      <w:r w:rsidR="00924745">
        <w:rPr>
          <w:b/>
        </w:rPr>
        <w:t>5</w:t>
      </w:r>
      <w:r w:rsidRPr="0037642D">
        <w:rPr>
          <w:b/>
        </w:rPr>
        <w:t xml:space="preserve"> г.</w:t>
      </w:r>
      <w:r w:rsidRPr="0037642D">
        <w:t xml:space="preserve"> </w:t>
      </w:r>
      <w:r w:rsidRPr="0037642D">
        <w:rPr>
          <w:rFonts w:ascii="Times New Roman CYR" w:hAnsi="Times New Roman CYR" w:cs="Times New Roman CYR"/>
          <w:color w:val="000000"/>
        </w:rPr>
        <w:t xml:space="preserve">на электронной площадке </w:t>
      </w:r>
      <w:r w:rsidRPr="0037642D">
        <w:rPr>
          <w:color w:val="000000"/>
        </w:rPr>
        <w:t xml:space="preserve">АО «Российский аукционный дом» по адресу: </w:t>
      </w:r>
      <w:hyperlink r:id="rId6" w:history="1">
        <w:r w:rsidRPr="0037642D">
          <w:rPr>
            <w:rStyle w:val="a4"/>
          </w:rPr>
          <w:t>http://lot-online.ru</w:t>
        </w:r>
      </w:hyperlink>
      <w:r w:rsidRPr="0037642D">
        <w:rPr>
          <w:color w:val="000000"/>
        </w:rPr>
        <w:t xml:space="preserve"> (далее – ЭТП)</w:t>
      </w:r>
      <w:r w:rsidRPr="0037642D">
        <w:rPr>
          <w:rFonts w:ascii="Times New Roman CYR" w:hAnsi="Times New Roman CYR" w:cs="Times New Roman CYR"/>
          <w:color w:val="000000"/>
        </w:rPr>
        <w:t>.</w:t>
      </w:r>
    </w:p>
    <w:p w14:paraId="639A5312"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Время окончания Торгов:</w:t>
      </w:r>
    </w:p>
    <w:p w14:paraId="3271C2BD"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1 часа с начала Торгов, если не поступило ни одного предложения о цене предмета Торгов (лота) после начала Торгов;</w:t>
      </w:r>
    </w:p>
    <w:p w14:paraId="5148A766"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6B4ACC9E" w14:textId="5A5F860F"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xml:space="preserve">В случае, если по итогам Торгов, назначенных на </w:t>
      </w:r>
      <w:r w:rsidR="008113FD" w:rsidRPr="008113FD">
        <w:rPr>
          <w:b/>
          <w:bCs/>
          <w:color w:val="000000"/>
        </w:rPr>
        <w:t>15 июля</w:t>
      </w:r>
      <w:r w:rsidR="008113FD">
        <w:rPr>
          <w:color w:val="000000"/>
        </w:rPr>
        <w:t xml:space="preserve"> </w:t>
      </w:r>
      <w:r w:rsidR="009E7E5E" w:rsidRPr="009E7E5E">
        <w:rPr>
          <w:b/>
          <w:bCs/>
          <w:color w:val="000000"/>
        </w:rPr>
        <w:t>202</w:t>
      </w:r>
      <w:r w:rsidR="00924745">
        <w:rPr>
          <w:b/>
          <w:bCs/>
          <w:color w:val="000000"/>
        </w:rPr>
        <w:t>5</w:t>
      </w:r>
      <w:r w:rsidR="009E7E5E" w:rsidRPr="009E7E5E">
        <w:rPr>
          <w:b/>
          <w:bCs/>
          <w:color w:val="000000"/>
        </w:rPr>
        <w:t xml:space="preserve"> г.</w:t>
      </w:r>
      <w:r w:rsidRPr="009E7E5E">
        <w:rPr>
          <w:b/>
          <w:bCs/>
          <w:color w:val="000000"/>
        </w:rPr>
        <w:t>,</w:t>
      </w:r>
      <w:r w:rsidRPr="0037642D">
        <w:rPr>
          <w:color w:val="000000"/>
        </w:rPr>
        <w:t xml:space="preserve"> лоты не реализованы, то в 14:00 часов по московскому времени </w:t>
      </w:r>
      <w:r w:rsidR="008113FD" w:rsidRPr="008113FD">
        <w:rPr>
          <w:b/>
          <w:bCs/>
          <w:color w:val="000000"/>
        </w:rPr>
        <w:t>01 сентября</w:t>
      </w:r>
      <w:r w:rsidR="008113FD">
        <w:rPr>
          <w:color w:val="000000"/>
        </w:rPr>
        <w:t xml:space="preserve"> </w:t>
      </w:r>
      <w:r w:rsidR="009E7E5E" w:rsidRPr="009E7E5E">
        <w:rPr>
          <w:b/>
          <w:bCs/>
          <w:color w:val="000000"/>
        </w:rPr>
        <w:t>202</w:t>
      </w:r>
      <w:r w:rsidR="00410CA1">
        <w:rPr>
          <w:b/>
          <w:bCs/>
          <w:color w:val="000000"/>
        </w:rPr>
        <w:t>5</w:t>
      </w:r>
      <w:r w:rsidRPr="0037642D">
        <w:rPr>
          <w:b/>
        </w:rPr>
        <w:t xml:space="preserve"> г.</w:t>
      </w:r>
      <w:r w:rsidRPr="0037642D">
        <w:t xml:space="preserve"> </w:t>
      </w:r>
      <w:r w:rsidRPr="0037642D">
        <w:rPr>
          <w:color w:val="000000"/>
        </w:rPr>
        <w:t>на ЭТП</w:t>
      </w:r>
      <w:r w:rsidRPr="0037642D">
        <w:t xml:space="preserve"> </w:t>
      </w:r>
      <w:r w:rsidRPr="0037642D">
        <w:rPr>
          <w:color w:val="000000"/>
        </w:rPr>
        <w:t>будут проведены</w:t>
      </w:r>
      <w:r w:rsidRPr="0037642D">
        <w:rPr>
          <w:b/>
          <w:bCs/>
          <w:color w:val="000000"/>
        </w:rPr>
        <w:t xml:space="preserve"> повторные Торги </w:t>
      </w:r>
      <w:r w:rsidRPr="0037642D">
        <w:rPr>
          <w:color w:val="000000"/>
        </w:rPr>
        <w:t>нереализованными лотами со снижением начальной цены лотов на 10 (Десять) процентов.</w:t>
      </w:r>
    </w:p>
    <w:p w14:paraId="2F98BE10"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Оператор ЭТП (далее – Оператор) обеспечивает проведение Торгов.</w:t>
      </w:r>
    </w:p>
    <w:p w14:paraId="11C03E9D" w14:textId="32DC3C6E"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lastRenderedPageBreak/>
        <w:t xml:space="preserve">Прием Оператором заявок и предложений о цене приобретения имущества финансовой организации на участие в </w:t>
      </w:r>
      <w:r w:rsidR="007B55CF" w:rsidRPr="0037642D">
        <w:rPr>
          <w:color w:val="000000"/>
        </w:rPr>
        <w:t>первых Торгах начинается в 00:00</w:t>
      </w:r>
      <w:r w:rsidRPr="0037642D">
        <w:rPr>
          <w:color w:val="000000"/>
        </w:rPr>
        <w:t xml:space="preserve"> часов по московскому времени </w:t>
      </w:r>
      <w:r w:rsidR="008113FD" w:rsidRPr="008113FD">
        <w:rPr>
          <w:b/>
          <w:bCs/>
          <w:color w:val="000000"/>
        </w:rPr>
        <w:t>03 июня</w:t>
      </w:r>
      <w:r w:rsidR="008113FD">
        <w:rPr>
          <w:color w:val="000000"/>
        </w:rPr>
        <w:t xml:space="preserve"> </w:t>
      </w:r>
      <w:r w:rsidR="009E7E5E" w:rsidRPr="009E7E5E">
        <w:rPr>
          <w:b/>
          <w:bCs/>
          <w:color w:val="000000"/>
        </w:rPr>
        <w:t>202</w:t>
      </w:r>
      <w:r w:rsidR="00924745">
        <w:rPr>
          <w:b/>
          <w:bCs/>
          <w:color w:val="000000"/>
        </w:rPr>
        <w:t>5</w:t>
      </w:r>
      <w:r w:rsidR="009E7E5E" w:rsidRPr="009E7E5E">
        <w:rPr>
          <w:b/>
          <w:bCs/>
          <w:color w:val="000000"/>
        </w:rPr>
        <w:t xml:space="preserve"> г.</w:t>
      </w:r>
      <w:r w:rsidRPr="009E7E5E">
        <w:rPr>
          <w:b/>
          <w:bCs/>
          <w:color w:val="000000"/>
        </w:rPr>
        <w:t>,</w:t>
      </w:r>
      <w:r w:rsidRPr="0037642D">
        <w:rPr>
          <w:color w:val="000000"/>
        </w:rPr>
        <w:t xml:space="preserve"> а на участие в пов</w:t>
      </w:r>
      <w:r w:rsidR="007B55CF" w:rsidRPr="0037642D">
        <w:rPr>
          <w:color w:val="000000"/>
        </w:rPr>
        <w:t>торных Торгах начинается в 00:00</w:t>
      </w:r>
      <w:r w:rsidRPr="0037642D">
        <w:rPr>
          <w:color w:val="000000"/>
        </w:rPr>
        <w:t xml:space="preserve"> часов по московскому времени </w:t>
      </w:r>
      <w:r w:rsidR="008113FD" w:rsidRPr="008113FD">
        <w:rPr>
          <w:b/>
          <w:bCs/>
          <w:color w:val="000000"/>
        </w:rPr>
        <w:t>21 июля</w:t>
      </w:r>
      <w:r w:rsidR="008113FD">
        <w:rPr>
          <w:color w:val="000000"/>
        </w:rPr>
        <w:t xml:space="preserve"> </w:t>
      </w:r>
      <w:r w:rsidR="009E7E5E" w:rsidRPr="009E7E5E">
        <w:rPr>
          <w:b/>
          <w:bCs/>
          <w:color w:val="000000"/>
        </w:rPr>
        <w:t>202</w:t>
      </w:r>
      <w:r w:rsidR="00924745">
        <w:rPr>
          <w:b/>
          <w:bCs/>
          <w:color w:val="000000"/>
        </w:rPr>
        <w:t>5</w:t>
      </w:r>
      <w:r w:rsidRPr="009E7E5E">
        <w:rPr>
          <w:b/>
          <w:bCs/>
        </w:rPr>
        <w:t xml:space="preserve"> </w:t>
      </w:r>
      <w:r w:rsidRPr="00F36909">
        <w:rPr>
          <w:b/>
          <w:bCs/>
        </w:rPr>
        <w:t>г.</w:t>
      </w:r>
      <w:r w:rsidRPr="00F36909">
        <w:rPr>
          <w:color w:val="000000"/>
        </w:rPr>
        <w:t xml:space="preserve"> Прием заявок на участие в Торгах и задатков прекращается в 14:00 часов по московскому времени за 5 (Пять) календарных</w:t>
      </w:r>
      <w:r w:rsidRPr="0037642D">
        <w:rPr>
          <w:color w:val="000000"/>
        </w:rPr>
        <w:t xml:space="preserve"> дней до даты проведения соответствующих Торгов.</w:t>
      </w:r>
    </w:p>
    <w:p w14:paraId="172EB580" w14:textId="77777777" w:rsidR="00950CC9" w:rsidRPr="0037642D" w:rsidRDefault="00950C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37642D">
        <w:rPr>
          <w:color w:val="000000"/>
        </w:rPr>
        <w:t>На основании п. 4 ст. 139 Федерального закона № 127-ФЗ «О несостоятельности (банкротстве)» имущество финансовой организации, не реализованное на повторных Торгах, выставляется на торги в электронной форме посредством публичного предложения (далее - Торги ППП).</w:t>
      </w:r>
    </w:p>
    <w:p w14:paraId="6BF89CCD" w14:textId="7723F4A4" w:rsidR="00950CC9" w:rsidRPr="005246E8" w:rsidRDefault="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5246E8">
        <w:rPr>
          <w:b/>
          <w:bCs/>
          <w:color w:val="000000"/>
        </w:rPr>
        <w:t>Торги ППП</w:t>
      </w:r>
      <w:r w:rsidRPr="005246E8">
        <w:rPr>
          <w:color w:val="000000"/>
          <w:shd w:val="clear" w:color="auto" w:fill="FFFFFF"/>
        </w:rPr>
        <w:t xml:space="preserve"> будут проведены на ЭТП:</w:t>
      </w:r>
      <w:r w:rsidR="00F17038">
        <w:rPr>
          <w:color w:val="000000"/>
          <w:shd w:val="clear" w:color="auto" w:fill="FFFFFF"/>
        </w:rPr>
        <w:t xml:space="preserve"> </w:t>
      </w:r>
      <w:r w:rsidR="00950CC9" w:rsidRPr="005246E8">
        <w:rPr>
          <w:b/>
          <w:bCs/>
          <w:color w:val="000000"/>
        </w:rPr>
        <w:t xml:space="preserve">с </w:t>
      </w:r>
      <w:r w:rsidR="008113FD">
        <w:rPr>
          <w:b/>
          <w:bCs/>
          <w:color w:val="000000"/>
        </w:rPr>
        <w:t xml:space="preserve">05 сентября </w:t>
      </w:r>
      <w:r w:rsidR="00BD0E8E" w:rsidRPr="005246E8">
        <w:rPr>
          <w:b/>
          <w:bCs/>
          <w:color w:val="000000"/>
        </w:rPr>
        <w:t>202</w:t>
      </w:r>
      <w:r w:rsidR="00410CA1">
        <w:rPr>
          <w:b/>
          <w:bCs/>
          <w:color w:val="000000"/>
        </w:rPr>
        <w:t>5</w:t>
      </w:r>
      <w:r w:rsidR="00950CC9" w:rsidRPr="005246E8">
        <w:rPr>
          <w:b/>
          <w:bCs/>
          <w:color w:val="000000"/>
        </w:rPr>
        <w:t xml:space="preserve"> г. по </w:t>
      </w:r>
      <w:r w:rsidR="008113FD">
        <w:rPr>
          <w:b/>
          <w:bCs/>
          <w:color w:val="000000"/>
        </w:rPr>
        <w:t xml:space="preserve">13 октября </w:t>
      </w:r>
      <w:r w:rsidR="00BD0E8E" w:rsidRPr="005246E8">
        <w:rPr>
          <w:b/>
          <w:bCs/>
          <w:color w:val="000000"/>
        </w:rPr>
        <w:t>202</w:t>
      </w:r>
      <w:r w:rsidR="00410CA1">
        <w:rPr>
          <w:b/>
          <w:bCs/>
          <w:color w:val="000000"/>
        </w:rPr>
        <w:t>5</w:t>
      </w:r>
      <w:r w:rsidR="00950CC9" w:rsidRPr="005246E8">
        <w:rPr>
          <w:b/>
          <w:bCs/>
          <w:color w:val="000000"/>
        </w:rPr>
        <w:t xml:space="preserve"> г.</w:t>
      </w:r>
    </w:p>
    <w:p w14:paraId="287E4339" w14:textId="747F8CEE"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Заявки на участие в Торгах ППП принима</w:t>
      </w:r>
      <w:r w:rsidR="007B55CF" w:rsidRPr="005246E8">
        <w:rPr>
          <w:color w:val="000000"/>
        </w:rPr>
        <w:t>ются Оператором, начиная с 00:00</w:t>
      </w:r>
      <w:r w:rsidRPr="005246E8">
        <w:rPr>
          <w:color w:val="000000"/>
        </w:rPr>
        <w:t xml:space="preserve"> часов по московскому времени </w:t>
      </w:r>
      <w:r w:rsidR="008113FD" w:rsidRPr="008113FD">
        <w:rPr>
          <w:b/>
          <w:bCs/>
          <w:color w:val="000000"/>
        </w:rPr>
        <w:t>05 сентября</w:t>
      </w:r>
      <w:r w:rsidR="008113FD">
        <w:rPr>
          <w:color w:val="000000"/>
        </w:rPr>
        <w:t xml:space="preserve"> </w:t>
      </w:r>
      <w:r w:rsidR="009E7E5E" w:rsidRPr="009E7E5E">
        <w:rPr>
          <w:b/>
          <w:bCs/>
          <w:color w:val="000000"/>
        </w:rPr>
        <w:t>202</w:t>
      </w:r>
      <w:r w:rsidR="00410CA1">
        <w:rPr>
          <w:b/>
          <w:bCs/>
          <w:color w:val="000000"/>
        </w:rPr>
        <w:t>5</w:t>
      </w:r>
      <w:r w:rsidR="0024147A" w:rsidRPr="0024147A">
        <w:rPr>
          <w:b/>
          <w:bCs/>
          <w:color w:val="000000"/>
        </w:rPr>
        <w:t xml:space="preserve"> </w:t>
      </w:r>
      <w:r w:rsidRPr="009E7E5E">
        <w:rPr>
          <w:b/>
          <w:bCs/>
          <w:color w:val="000000"/>
        </w:rPr>
        <w:t>г.</w:t>
      </w:r>
      <w:r w:rsidRPr="005246E8">
        <w:rPr>
          <w:color w:val="000000"/>
        </w:rPr>
        <w:t xml:space="preserve"> Прием заявок на участие в Торгах ППП и задатков </w:t>
      </w:r>
      <w:r w:rsidRPr="008113FD">
        <w:rPr>
          <w:color w:val="000000"/>
        </w:rPr>
        <w:t xml:space="preserve">прекращается за </w:t>
      </w:r>
      <w:r w:rsidR="00F17038" w:rsidRPr="008113FD">
        <w:rPr>
          <w:color w:val="000000"/>
        </w:rPr>
        <w:t>1</w:t>
      </w:r>
      <w:r w:rsidRPr="008113FD">
        <w:rPr>
          <w:color w:val="000000"/>
        </w:rPr>
        <w:t xml:space="preserve"> (</w:t>
      </w:r>
      <w:r w:rsidR="00F17038" w:rsidRPr="008113FD">
        <w:rPr>
          <w:color w:val="000000"/>
        </w:rPr>
        <w:t>Один</w:t>
      </w:r>
      <w:r w:rsidRPr="008113FD">
        <w:rPr>
          <w:color w:val="000000"/>
        </w:rPr>
        <w:t>) календарны</w:t>
      </w:r>
      <w:r w:rsidR="00F17038" w:rsidRPr="008113FD">
        <w:rPr>
          <w:color w:val="000000"/>
        </w:rPr>
        <w:t>й</w:t>
      </w:r>
      <w:r w:rsidRPr="008113FD">
        <w:rPr>
          <w:color w:val="000000"/>
        </w:rPr>
        <w:t xml:space="preserve"> де</w:t>
      </w:r>
      <w:r w:rsidR="00F17038" w:rsidRPr="008113FD">
        <w:rPr>
          <w:color w:val="000000"/>
        </w:rPr>
        <w:t>нь</w:t>
      </w:r>
      <w:r w:rsidRPr="008113FD">
        <w:rPr>
          <w:color w:val="000000"/>
        </w:rPr>
        <w:t xml:space="preserve"> до</w:t>
      </w:r>
      <w:r w:rsidRPr="005246E8">
        <w:rPr>
          <w:color w:val="000000"/>
        </w:rPr>
        <w:t xml:space="preserve"> даты окончания соответствующего периода понижения цены продажи лотов в 14:00 часов по московскому времени.</w:t>
      </w:r>
    </w:p>
    <w:p w14:paraId="0EE5AAB1" w14:textId="77777777"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1BD1F8A2" w14:textId="77777777"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Оператор обеспечивает проведение Торгов ППП.</w:t>
      </w:r>
    </w:p>
    <w:p w14:paraId="613C1865" w14:textId="3EE431C4" w:rsidR="00BC165C" w:rsidRDefault="001D79B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1D79B8">
        <w:rPr>
          <w:color w:val="000000"/>
        </w:rPr>
        <w:t>Начальные цены продажи лотов на Торгах ППП устанавливаются равными начальным ценам продажи лотов на повторных Торгах</w:t>
      </w:r>
      <w:r w:rsidR="00950CC9" w:rsidRPr="005246E8">
        <w:rPr>
          <w:color w:val="000000"/>
        </w:rPr>
        <w:t>:</w:t>
      </w:r>
    </w:p>
    <w:p w14:paraId="4D4D0946" w14:textId="77777777" w:rsidR="008113FD" w:rsidRPr="008113FD" w:rsidRDefault="008113FD" w:rsidP="008113F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8113FD">
        <w:rPr>
          <w:bCs/>
          <w:color w:val="000000"/>
        </w:rPr>
        <w:t>с 05 сентября 2025 г. по 11 сентября 2025 г. - в размере начальной цены продажи лотов;</w:t>
      </w:r>
    </w:p>
    <w:p w14:paraId="1F699920" w14:textId="77777777" w:rsidR="008113FD" w:rsidRPr="008113FD" w:rsidRDefault="008113FD" w:rsidP="008113F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8113FD">
        <w:rPr>
          <w:bCs/>
          <w:color w:val="000000"/>
        </w:rPr>
        <w:t>с 12 сентября 2025 г. по 16 сентября 2025 г. - в размере 90,12% от начальной цены продажи лотов;</w:t>
      </w:r>
    </w:p>
    <w:p w14:paraId="31241A2C" w14:textId="77777777" w:rsidR="008113FD" w:rsidRPr="008113FD" w:rsidRDefault="008113FD" w:rsidP="008113F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8113FD">
        <w:rPr>
          <w:bCs/>
          <w:color w:val="000000"/>
        </w:rPr>
        <w:t>с 17 сентября 2025 г. по 19 сентября 2025 г. - в размере 80,24% от начальной цены продажи лотов;</w:t>
      </w:r>
    </w:p>
    <w:p w14:paraId="510CD0A4" w14:textId="77777777" w:rsidR="008113FD" w:rsidRPr="008113FD" w:rsidRDefault="008113FD" w:rsidP="008113F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8113FD">
        <w:rPr>
          <w:bCs/>
          <w:color w:val="000000"/>
        </w:rPr>
        <w:t>с 20 сентября 2025 г. по 22 сентября 2025 г. - в размере 70,36% от начальной цены продажи лотов;</w:t>
      </w:r>
    </w:p>
    <w:p w14:paraId="73AD086E" w14:textId="77777777" w:rsidR="008113FD" w:rsidRPr="008113FD" w:rsidRDefault="008113FD" w:rsidP="008113F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8113FD">
        <w:rPr>
          <w:bCs/>
          <w:color w:val="000000"/>
        </w:rPr>
        <w:t>с 23 сентября 2025 г. по 25 сентября 2025 г. - в размере 60,48% от начальной цены продажи лотов;</w:t>
      </w:r>
    </w:p>
    <w:p w14:paraId="50295088" w14:textId="57B36DF3" w:rsidR="008113FD" w:rsidRPr="008113FD" w:rsidRDefault="008113FD" w:rsidP="008113F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8113FD">
        <w:rPr>
          <w:bCs/>
          <w:color w:val="000000"/>
        </w:rPr>
        <w:t>с 26 сентября 2025 г. по 28 сентября 2025 г. - в размере 50,6</w:t>
      </w:r>
      <w:r>
        <w:rPr>
          <w:bCs/>
          <w:color w:val="000000"/>
        </w:rPr>
        <w:t>0</w:t>
      </w:r>
      <w:r w:rsidRPr="008113FD">
        <w:rPr>
          <w:bCs/>
          <w:color w:val="000000"/>
        </w:rPr>
        <w:t>% от начальной цены продажи лотов;</w:t>
      </w:r>
    </w:p>
    <w:p w14:paraId="5C0352E3" w14:textId="77777777" w:rsidR="008113FD" w:rsidRPr="008113FD" w:rsidRDefault="008113FD" w:rsidP="008113F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8113FD">
        <w:rPr>
          <w:bCs/>
          <w:color w:val="000000"/>
        </w:rPr>
        <w:t>с 29 сентября 2025 г. по 01 октября 2025 г. - в размере 40,72% от начальной цены продажи лотов;</w:t>
      </w:r>
    </w:p>
    <w:p w14:paraId="068FB45F" w14:textId="77777777" w:rsidR="008113FD" w:rsidRPr="008113FD" w:rsidRDefault="008113FD" w:rsidP="008113F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8113FD">
        <w:rPr>
          <w:bCs/>
          <w:color w:val="000000"/>
        </w:rPr>
        <w:t>с 02 октября 2025 г. по 04 октября 2025 г. - в размере 30,84% от начальной цены продажи лотов;</w:t>
      </w:r>
    </w:p>
    <w:p w14:paraId="5207552F" w14:textId="77777777" w:rsidR="008113FD" w:rsidRPr="008113FD" w:rsidRDefault="008113FD" w:rsidP="008113F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8113FD">
        <w:rPr>
          <w:bCs/>
          <w:color w:val="000000"/>
        </w:rPr>
        <w:t>с 05 октября 2025 г. по 07 октября 2025 г. - в размере 20,96% от начальной цены продажи лотов;</w:t>
      </w:r>
    </w:p>
    <w:p w14:paraId="7E5BE082" w14:textId="77777777" w:rsidR="008113FD" w:rsidRPr="008113FD" w:rsidRDefault="008113FD" w:rsidP="008113F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bCs/>
          <w:color w:val="000000"/>
        </w:rPr>
      </w:pPr>
      <w:r w:rsidRPr="008113FD">
        <w:rPr>
          <w:bCs/>
          <w:color w:val="000000"/>
        </w:rPr>
        <w:t>с 08 октября 2025 г. по 10 октября 2025 г. - в размере 11,08% от начальной цены продажи лотов;</w:t>
      </w:r>
    </w:p>
    <w:p w14:paraId="6CE0A093" w14:textId="61CF3B27" w:rsidR="005C5BB0" w:rsidRDefault="008113FD" w:rsidP="008113F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8113FD">
        <w:rPr>
          <w:bCs/>
          <w:color w:val="000000"/>
        </w:rPr>
        <w:t>с 11 октября 2025 г. по 13 октября 2025 г. - в размере 1,2</w:t>
      </w:r>
      <w:r>
        <w:rPr>
          <w:bCs/>
          <w:color w:val="000000"/>
        </w:rPr>
        <w:t>0</w:t>
      </w:r>
      <w:r w:rsidRPr="008113FD">
        <w:rPr>
          <w:bCs/>
          <w:color w:val="000000"/>
        </w:rPr>
        <w:t>% от начальной цены продажи лотов</w:t>
      </w:r>
      <w:r>
        <w:rPr>
          <w:bCs/>
          <w:color w:val="000000"/>
        </w:rPr>
        <w:t>.</w:t>
      </w:r>
    </w:p>
    <w:p w14:paraId="3CAE2E63" w14:textId="51585326"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7A1F5D">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01366FA0" w14:textId="77777777" w:rsidR="00097526"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246E8">
        <w:rPr>
          <w:rFonts w:ascii="Times New Roman" w:hAnsi="Times New Roman" w:cs="Times New Roman"/>
          <w:sz w:val="24"/>
          <w:szCs w:val="24"/>
        </w:rPr>
        <w:t xml:space="preserve">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w:t>
      </w:r>
      <w:r w:rsidRPr="005246E8">
        <w:rPr>
          <w:rFonts w:ascii="Times New Roman" w:hAnsi="Times New Roman" w:cs="Times New Roman"/>
          <w:sz w:val="24"/>
          <w:szCs w:val="24"/>
        </w:rPr>
        <w:lastRenderedPageBreak/>
        <w:t>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1B0DA79D" w14:textId="1BF4821C" w:rsidR="00097526" w:rsidRPr="005246E8"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w:t>
      </w:r>
      <w:r>
        <w:rPr>
          <w:rFonts w:ascii="Times New Roman" w:hAnsi="Times New Roman" w:cs="Times New Roman"/>
          <w:color w:val="000000"/>
          <w:sz w:val="24"/>
          <w:szCs w:val="24"/>
        </w:rPr>
        <w:t xml:space="preserve">В назначении платежа необходимо указывать: </w:t>
      </w:r>
      <w:r w:rsidR="00136CF2" w:rsidRPr="00136CF2">
        <w:rPr>
          <w:rFonts w:ascii="Times New Roman" w:hAnsi="Times New Roman" w:cs="Times New Roman"/>
          <w:b/>
          <w:color w:val="000000"/>
          <w:sz w:val="24"/>
          <w:szCs w:val="24"/>
        </w:rPr>
        <w:t>«№ Л/с</w:t>
      </w:r>
      <w:proofErr w:type="gramStart"/>
      <w:r w:rsidR="00136CF2" w:rsidRPr="00136CF2">
        <w:rPr>
          <w:rFonts w:ascii="Times New Roman" w:hAnsi="Times New Roman" w:cs="Times New Roman"/>
          <w:b/>
          <w:color w:val="000000"/>
          <w:sz w:val="24"/>
          <w:szCs w:val="24"/>
        </w:rPr>
        <w:t xml:space="preserve"> ....</w:t>
      </w:r>
      <w:proofErr w:type="gramEnd"/>
      <w:r w:rsidR="00136CF2" w:rsidRPr="00136CF2">
        <w:rPr>
          <w:rFonts w:ascii="Times New Roman" w:hAnsi="Times New Roman" w:cs="Times New Roman"/>
          <w:b/>
          <w:color w:val="000000"/>
          <w:sz w:val="24"/>
          <w:szCs w:val="24"/>
        </w:rPr>
        <w:t>Средства для проведения операций по обеспечению участия в электронных процедурах. НДС не облагается»</w:t>
      </w:r>
      <w:r>
        <w:rPr>
          <w:rFonts w:ascii="Times New Roman" w:hAnsi="Times New Roman" w:cs="Times New Roman"/>
          <w:b/>
          <w:color w:val="000000"/>
          <w:sz w:val="24"/>
          <w:szCs w:val="24"/>
        </w:rPr>
        <w:t>.</w:t>
      </w:r>
      <w:r w:rsidRPr="005246E8">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75E3F9AA" w14:textId="7D4EE20F"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Задаток за участие в Торгах </w:t>
      </w:r>
      <w:r w:rsidRPr="008113FD">
        <w:rPr>
          <w:rFonts w:ascii="Times New Roman" w:hAnsi="Times New Roman" w:cs="Times New Roman"/>
          <w:color w:val="000000"/>
          <w:sz w:val="24"/>
          <w:szCs w:val="24"/>
        </w:rPr>
        <w:t>составляет 1</w:t>
      </w:r>
      <w:r w:rsidR="008113FD" w:rsidRPr="008113FD">
        <w:rPr>
          <w:rFonts w:ascii="Times New Roman" w:hAnsi="Times New Roman" w:cs="Times New Roman"/>
          <w:color w:val="000000"/>
          <w:sz w:val="24"/>
          <w:szCs w:val="24"/>
        </w:rPr>
        <w:t>5</w:t>
      </w:r>
      <w:r w:rsidRPr="008113FD">
        <w:rPr>
          <w:rFonts w:ascii="Times New Roman" w:hAnsi="Times New Roman" w:cs="Times New Roman"/>
          <w:color w:val="000000"/>
          <w:sz w:val="24"/>
          <w:szCs w:val="24"/>
        </w:rPr>
        <w:t xml:space="preserve"> (</w:t>
      </w:r>
      <w:r w:rsidR="008113FD" w:rsidRPr="008113FD">
        <w:rPr>
          <w:rFonts w:ascii="Times New Roman" w:hAnsi="Times New Roman" w:cs="Times New Roman"/>
          <w:color w:val="000000"/>
          <w:sz w:val="24"/>
          <w:szCs w:val="24"/>
        </w:rPr>
        <w:t>Пятнадцать)</w:t>
      </w:r>
      <w:r w:rsidRPr="008113FD">
        <w:rPr>
          <w:rFonts w:ascii="Times New Roman" w:hAnsi="Times New Roman" w:cs="Times New Roman"/>
          <w:color w:val="000000"/>
          <w:sz w:val="24"/>
          <w:szCs w:val="24"/>
        </w:rPr>
        <w:t xml:space="preserve"> процентов от начальной цены лот</w:t>
      </w:r>
      <w:r w:rsidR="008113FD">
        <w:rPr>
          <w:rFonts w:ascii="Times New Roman" w:hAnsi="Times New Roman" w:cs="Times New Roman"/>
          <w:color w:val="000000"/>
          <w:sz w:val="24"/>
          <w:szCs w:val="24"/>
        </w:rPr>
        <w:t>а</w:t>
      </w:r>
      <w:r w:rsidRPr="008113FD">
        <w:rPr>
          <w:rFonts w:ascii="Times New Roman" w:hAnsi="Times New Roman" w:cs="Times New Roman"/>
          <w:color w:val="000000"/>
          <w:sz w:val="24"/>
          <w:szCs w:val="24"/>
        </w:rPr>
        <w:t xml:space="preserve">. Задаток за участие в Торгах ППП составляет </w:t>
      </w:r>
      <w:r w:rsidR="008113FD" w:rsidRPr="008113FD">
        <w:rPr>
          <w:rFonts w:ascii="Times New Roman" w:hAnsi="Times New Roman" w:cs="Times New Roman"/>
          <w:color w:val="000000"/>
          <w:sz w:val="24"/>
          <w:szCs w:val="24"/>
        </w:rPr>
        <w:t xml:space="preserve">15 (Пятнадцать) процентов </w:t>
      </w:r>
      <w:r w:rsidRPr="008113FD">
        <w:rPr>
          <w:rFonts w:ascii="Times New Roman" w:hAnsi="Times New Roman" w:cs="Times New Roman"/>
          <w:color w:val="000000"/>
          <w:sz w:val="24"/>
          <w:szCs w:val="24"/>
        </w:rPr>
        <w:t>от начальной цены продажи лот</w:t>
      </w:r>
      <w:r w:rsidR="008113FD">
        <w:rPr>
          <w:rFonts w:ascii="Times New Roman" w:hAnsi="Times New Roman" w:cs="Times New Roman"/>
          <w:color w:val="000000"/>
          <w:sz w:val="24"/>
          <w:szCs w:val="24"/>
        </w:rPr>
        <w:t>а</w:t>
      </w:r>
      <w:r w:rsidRPr="008113FD">
        <w:rPr>
          <w:rFonts w:ascii="Times New Roman" w:hAnsi="Times New Roman" w:cs="Times New Roman"/>
          <w:color w:val="000000"/>
          <w:sz w:val="24"/>
          <w:szCs w:val="24"/>
        </w:rPr>
        <w:t xml:space="preserve"> на периоде. Датой внесения задатка считается дата поступления денежных средств, перечисленных в качестве задатка, на счет ОТ.</w:t>
      </w:r>
    </w:p>
    <w:p w14:paraId="45EDE179"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51EFBC64"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751B3592"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5246E8">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2FE31BCD"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sz w:val="24"/>
          <w:szCs w:val="24"/>
        </w:rPr>
        <w:t xml:space="preserve">Победителем Торгов </w:t>
      </w:r>
      <w:r w:rsidRPr="005246E8">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36AE4165"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5246E8">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560F82D3"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color w:val="000000"/>
          <w:sz w:val="24"/>
          <w:szCs w:val="24"/>
        </w:rPr>
        <w:t>Победителем Торгов ППП</w:t>
      </w:r>
      <w:r w:rsidRPr="005246E8">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2C1ACF44"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1B8E2BC9"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w:t>
      </w:r>
      <w:r w:rsidRPr="005246E8">
        <w:rPr>
          <w:rFonts w:ascii="Times New Roman" w:hAnsi="Times New Roman" w:cs="Times New Roman"/>
          <w:color w:val="000000"/>
          <w:sz w:val="24"/>
          <w:szCs w:val="24"/>
        </w:rPr>
        <w:lastRenderedPageBreak/>
        <w:t>имущества принадлежит Участнику, который первым представил в установленный срок заявку на участие в Торгах ППП.</w:t>
      </w:r>
    </w:p>
    <w:p w14:paraId="38328DD2" w14:textId="77777777" w:rsidR="00097526" w:rsidRPr="008113FD"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113FD">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067775ED" w14:textId="77777777" w:rsidR="00097526" w:rsidRPr="008113FD"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113FD">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363017BA" w14:textId="77777777" w:rsidR="00097526" w:rsidRPr="008113FD"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113FD">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Неподписание Договора в течение 5 (Пять) дней с даты его направления Победителю означает отказ (уклонение) Победителя от заключения Договора, и КУ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 </w:t>
      </w:r>
    </w:p>
    <w:p w14:paraId="6E0B11DC" w14:textId="77777777" w:rsidR="00097526" w:rsidRPr="008113FD"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113FD">
        <w:rPr>
          <w:rFonts w:ascii="Times New Roman" w:hAnsi="Times New Roman" w:cs="Times New Roman"/>
          <w:color w:val="000000"/>
          <w:sz w:val="24"/>
          <w:szCs w:val="24"/>
        </w:rPr>
        <w:t>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39B91637" w14:textId="77777777" w:rsidR="00097526" w:rsidRPr="008113FD"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113FD">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0C960809" w14:textId="3EFB84B4" w:rsidR="00097526" w:rsidRPr="004914BB"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8113FD">
        <w:rPr>
          <w:rFonts w:ascii="Times New Roman" w:hAnsi="Times New Roman" w:cs="Times New Roman"/>
          <w:color w:val="000000"/>
          <w:sz w:val="24"/>
          <w:szCs w:val="24"/>
        </w:rPr>
        <w:t xml:space="preserve">Информацию о реализуемом имуществе можно получить у </w:t>
      </w:r>
      <w:r w:rsidR="00CE2181" w:rsidRPr="00CE2181">
        <w:rPr>
          <w:rFonts w:ascii="Times New Roman" w:hAnsi="Times New Roman" w:cs="Times New Roman"/>
          <w:color w:val="000000"/>
          <w:sz w:val="24"/>
          <w:szCs w:val="24"/>
        </w:rPr>
        <w:t>КУ с 10:00 до 1</w:t>
      </w:r>
      <w:r w:rsidR="00CE2181">
        <w:rPr>
          <w:rFonts w:ascii="Times New Roman" w:hAnsi="Times New Roman" w:cs="Times New Roman"/>
          <w:color w:val="000000"/>
          <w:sz w:val="24"/>
          <w:szCs w:val="24"/>
        </w:rPr>
        <w:t>7</w:t>
      </w:r>
      <w:r w:rsidR="00CE2181" w:rsidRPr="00CE2181">
        <w:rPr>
          <w:rFonts w:ascii="Times New Roman" w:hAnsi="Times New Roman" w:cs="Times New Roman"/>
          <w:color w:val="000000"/>
          <w:sz w:val="24"/>
          <w:szCs w:val="24"/>
        </w:rPr>
        <w:t>:00</w:t>
      </w:r>
      <w:r w:rsidR="00CE2181">
        <w:rPr>
          <w:rFonts w:ascii="Times New Roman" w:hAnsi="Times New Roman" w:cs="Times New Roman"/>
          <w:color w:val="000000"/>
          <w:sz w:val="24"/>
          <w:szCs w:val="24"/>
        </w:rPr>
        <w:t xml:space="preserve"> </w:t>
      </w:r>
      <w:r w:rsidR="00CE2181" w:rsidRPr="00CE2181">
        <w:rPr>
          <w:rFonts w:ascii="Times New Roman" w:hAnsi="Times New Roman" w:cs="Times New Roman"/>
          <w:color w:val="000000"/>
          <w:sz w:val="24"/>
          <w:szCs w:val="24"/>
        </w:rPr>
        <w:t>по адресу: г. Екатеринбург, ул. Куйбышева, д. 12, тел. 8-800-200-08-05, 8-800-505-80-32, эл. почта etorgi@asv.org.ru; у ОТ</w:t>
      </w:r>
      <w:r w:rsidRPr="008113FD">
        <w:rPr>
          <w:rFonts w:ascii="Times New Roman" w:hAnsi="Times New Roman" w:cs="Times New Roman"/>
          <w:color w:val="000000"/>
          <w:sz w:val="24"/>
          <w:szCs w:val="24"/>
        </w:rPr>
        <w:t>:</w:t>
      </w:r>
      <w:r w:rsidR="00CE2181">
        <w:rPr>
          <w:rFonts w:ascii="Times New Roman" w:hAnsi="Times New Roman" w:cs="Times New Roman"/>
          <w:color w:val="000000"/>
          <w:sz w:val="24"/>
          <w:szCs w:val="24"/>
        </w:rPr>
        <w:t xml:space="preserve"> для лота 1 - </w:t>
      </w:r>
      <w:r w:rsidR="00CE2181" w:rsidRPr="00CE2181">
        <w:rPr>
          <w:rFonts w:ascii="Times New Roman" w:hAnsi="Times New Roman" w:cs="Times New Roman"/>
          <w:color w:val="000000"/>
          <w:sz w:val="24"/>
          <w:szCs w:val="24"/>
        </w:rPr>
        <w:t xml:space="preserve">тел. </w:t>
      </w:r>
      <w:r w:rsidR="00CE2181">
        <w:rPr>
          <w:rFonts w:ascii="Times New Roman" w:hAnsi="Times New Roman" w:cs="Times New Roman"/>
          <w:color w:val="000000"/>
          <w:sz w:val="24"/>
          <w:szCs w:val="24"/>
        </w:rPr>
        <w:t>8</w:t>
      </w:r>
      <w:r w:rsidR="00CE2181" w:rsidRPr="00CE2181">
        <w:rPr>
          <w:rFonts w:ascii="Times New Roman" w:hAnsi="Times New Roman" w:cs="Times New Roman"/>
          <w:color w:val="000000"/>
          <w:sz w:val="24"/>
          <w:szCs w:val="24"/>
        </w:rPr>
        <w:t xml:space="preserve">-967-246-44-23, эл. адрес: </w:t>
      </w:r>
      <w:hyperlink r:id="rId7" w:history="1">
        <w:r w:rsidR="00CE2181" w:rsidRPr="003C7ED8">
          <w:rPr>
            <w:rStyle w:val="a4"/>
            <w:rFonts w:ascii="Times New Roman" w:hAnsi="Times New Roman"/>
            <w:sz w:val="24"/>
            <w:szCs w:val="24"/>
          </w:rPr>
          <w:t>kazan@auction-house.ru</w:t>
        </w:r>
      </w:hyperlink>
      <w:r w:rsidR="00CE2181">
        <w:rPr>
          <w:rFonts w:ascii="Times New Roman" w:hAnsi="Times New Roman" w:cs="Times New Roman"/>
          <w:color w:val="000000"/>
          <w:sz w:val="24"/>
          <w:szCs w:val="24"/>
        </w:rPr>
        <w:t xml:space="preserve">; для лотов 2,3 - </w:t>
      </w:r>
      <w:r w:rsidR="00F36909" w:rsidRPr="00F36909">
        <w:rPr>
          <w:rFonts w:ascii="Times New Roman" w:hAnsi="Times New Roman" w:cs="Times New Roman"/>
          <w:color w:val="000000"/>
          <w:sz w:val="24"/>
          <w:szCs w:val="24"/>
        </w:rPr>
        <w:t xml:space="preserve">тел. 8-967-268-63-20 (мск+2 часа), </w:t>
      </w:r>
      <w:proofErr w:type="spellStart"/>
      <w:r w:rsidR="00F36909" w:rsidRPr="00F36909">
        <w:rPr>
          <w:rFonts w:ascii="Times New Roman" w:hAnsi="Times New Roman" w:cs="Times New Roman"/>
          <w:color w:val="000000"/>
          <w:sz w:val="24"/>
          <w:szCs w:val="24"/>
        </w:rPr>
        <w:t>эл.почта</w:t>
      </w:r>
      <w:proofErr w:type="spellEnd"/>
      <w:r w:rsidR="00F36909" w:rsidRPr="00F36909">
        <w:rPr>
          <w:rFonts w:ascii="Times New Roman" w:hAnsi="Times New Roman" w:cs="Times New Roman"/>
          <w:color w:val="000000"/>
          <w:sz w:val="24"/>
          <w:szCs w:val="24"/>
        </w:rPr>
        <w:t>: ekb@auction-house.ru</w:t>
      </w:r>
      <w:r w:rsidRPr="008113FD">
        <w:rPr>
          <w:rFonts w:ascii="Times New Roman" w:hAnsi="Times New Roman" w:cs="Times New Roman"/>
          <w:color w:val="000000"/>
          <w:sz w:val="24"/>
          <w:szCs w:val="24"/>
        </w:rPr>
        <w:t>. Покупатель несет все риски отказа от предоставленного ему права ознакомления с имуществом до принятия участия в торгах.</w:t>
      </w:r>
    </w:p>
    <w:p w14:paraId="72BF02C1" w14:textId="77777777" w:rsidR="00097526" w:rsidRPr="00E72AD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D047C">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24D99CE0" w14:textId="77777777" w:rsidR="00097526" w:rsidRPr="00E72AD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72AD4">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p w14:paraId="4B641378" w14:textId="77777777" w:rsidR="00097526" w:rsidRPr="00257B8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p w14:paraId="594BB11E" w14:textId="77777777" w:rsidR="00097526" w:rsidRPr="00811556" w:rsidRDefault="00097526" w:rsidP="0009752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jc w:val="both"/>
        <w:rPr>
          <w:color w:val="000000"/>
        </w:rPr>
      </w:pPr>
    </w:p>
    <w:p w14:paraId="3C227C91" w14:textId="77777777" w:rsidR="00FF4CB0" w:rsidRDefault="00FF4CB0"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FF4CB0" w:rsidSect="00AB284E">
      <w:pgSz w:w="11909" w:h="16834"/>
      <w:pgMar w:top="1134" w:right="569"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5C"/>
    <w:rsid w:val="000125E2"/>
    <w:rsid w:val="00097526"/>
    <w:rsid w:val="00136CF2"/>
    <w:rsid w:val="00137FC5"/>
    <w:rsid w:val="00145293"/>
    <w:rsid w:val="0015099D"/>
    <w:rsid w:val="001D79B8"/>
    <w:rsid w:val="001F039D"/>
    <w:rsid w:val="0024147A"/>
    <w:rsid w:val="00257B84"/>
    <w:rsid w:val="00266DD6"/>
    <w:rsid w:val="00277C2B"/>
    <w:rsid w:val="00357F4D"/>
    <w:rsid w:val="0037642D"/>
    <w:rsid w:val="00410CA1"/>
    <w:rsid w:val="00467D6B"/>
    <w:rsid w:val="0047453A"/>
    <w:rsid w:val="0048363D"/>
    <w:rsid w:val="00494A7A"/>
    <w:rsid w:val="004D047C"/>
    <w:rsid w:val="0050091B"/>
    <w:rsid w:val="00500FD3"/>
    <w:rsid w:val="005246E8"/>
    <w:rsid w:val="00532A30"/>
    <w:rsid w:val="005C5BB0"/>
    <w:rsid w:val="005F1F68"/>
    <w:rsid w:val="0066094B"/>
    <w:rsid w:val="00662676"/>
    <w:rsid w:val="00697675"/>
    <w:rsid w:val="006C0D0B"/>
    <w:rsid w:val="007229EA"/>
    <w:rsid w:val="00740B28"/>
    <w:rsid w:val="00761B81"/>
    <w:rsid w:val="007A1F5D"/>
    <w:rsid w:val="007B55CF"/>
    <w:rsid w:val="007F7091"/>
    <w:rsid w:val="00803558"/>
    <w:rsid w:val="008113FD"/>
    <w:rsid w:val="00865FD7"/>
    <w:rsid w:val="00886E3A"/>
    <w:rsid w:val="00924745"/>
    <w:rsid w:val="00950CC9"/>
    <w:rsid w:val="009A1244"/>
    <w:rsid w:val="009C353B"/>
    <w:rsid w:val="009C4FD4"/>
    <w:rsid w:val="009E11A5"/>
    <w:rsid w:val="009E6456"/>
    <w:rsid w:val="009E7E5E"/>
    <w:rsid w:val="00A54D16"/>
    <w:rsid w:val="00A95FD6"/>
    <w:rsid w:val="00AB284E"/>
    <w:rsid w:val="00AB7409"/>
    <w:rsid w:val="00AE1E52"/>
    <w:rsid w:val="00AF25EA"/>
    <w:rsid w:val="00B4083B"/>
    <w:rsid w:val="00BC165C"/>
    <w:rsid w:val="00BD0E8E"/>
    <w:rsid w:val="00C11EFF"/>
    <w:rsid w:val="00CB638E"/>
    <w:rsid w:val="00CC76B5"/>
    <w:rsid w:val="00CE2181"/>
    <w:rsid w:val="00D62667"/>
    <w:rsid w:val="00DE0234"/>
    <w:rsid w:val="00E614D3"/>
    <w:rsid w:val="00E72AD4"/>
    <w:rsid w:val="00F16938"/>
    <w:rsid w:val="00F17038"/>
    <w:rsid w:val="00F36909"/>
    <w:rsid w:val="00FA27DE"/>
    <w:rsid w:val="00FF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A361B"/>
  <w14:defaultImageDpi w14:val="96"/>
  <w15:docId w15:val="{89448068-8250-4ECB-9D19-E94E47FB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9C353B"/>
    <w:rPr>
      <w:sz w:val="16"/>
      <w:szCs w:val="16"/>
    </w:rPr>
  </w:style>
  <w:style w:type="paragraph" w:styleId="a6">
    <w:name w:val="annotation text"/>
    <w:basedOn w:val="a"/>
    <w:link w:val="a7"/>
    <w:uiPriority w:val="99"/>
    <w:semiHidden/>
    <w:unhideWhenUsed/>
    <w:rsid w:val="009C353B"/>
    <w:pPr>
      <w:spacing w:line="240" w:lineRule="auto"/>
    </w:pPr>
    <w:rPr>
      <w:sz w:val="20"/>
      <w:szCs w:val="20"/>
    </w:rPr>
  </w:style>
  <w:style w:type="character" w:customStyle="1" w:styleId="a7">
    <w:name w:val="Текст примечания Знак"/>
    <w:basedOn w:val="a0"/>
    <w:link w:val="a6"/>
    <w:uiPriority w:val="99"/>
    <w:semiHidden/>
    <w:rsid w:val="009C353B"/>
    <w:rPr>
      <w:rFonts w:ascii="Calibri" w:hAnsi="Calibri" w:cs="Calibri"/>
      <w:sz w:val="20"/>
      <w:szCs w:val="20"/>
    </w:rPr>
  </w:style>
  <w:style w:type="paragraph" w:styleId="a8">
    <w:name w:val="Balloon Text"/>
    <w:basedOn w:val="a"/>
    <w:link w:val="a9"/>
    <w:uiPriority w:val="99"/>
    <w:semiHidden/>
    <w:unhideWhenUsed/>
    <w:rsid w:val="009C35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353B"/>
    <w:rPr>
      <w:rFonts w:ascii="Tahoma" w:hAnsi="Tahoma" w:cs="Tahoma"/>
      <w:sz w:val="16"/>
      <w:szCs w:val="16"/>
    </w:rPr>
  </w:style>
  <w:style w:type="character" w:customStyle="1" w:styleId="1">
    <w:name w:val="Неразрешенное упоминание1"/>
    <w:basedOn w:val="a0"/>
    <w:uiPriority w:val="99"/>
    <w:semiHidden/>
    <w:unhideWhenUsed/>
    <w:rsid w:val="00740B28"/>
    <w:rPr>
      <w:color w:val="605E5C"/>
      <w:shd w:val="clear" w:color="auto" w:fill="E1DFDD"/>
    </w:rPr>
  </w:style>
  <w:style w:type="character" w:styleId="aa">
    <w:name w:val="Unresolved Mention"/>
    <w:basedOn w:val="a0"/>
    <w:uiPriority w:val="99"/>
    <w:semiHidden/>
    <w:unhideWhenUsed/>
    <w:rsid w:val="00CE2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46019">
      <w:bodyDiv w:val="1"/>
      <w:marLeft w:val="0"/>
      <w:marRight w:val="0"/>
      <w:marTop w:val="0"/>
      <w:marBottom w:val="0"/>
      <w:divBdr>
        <w:top w:val="none" w:sz="0" w:space="0" w:color="auto"/>
        <w:left w:val="none" w:sz="0" w:space="0" w:color="auto"/>
        <w:bottom w:val="none" w:sz="0" w:space="0" w:color="auto"/>
        <w:right w:val="none" w:sz="0" w:space="0" w:color="auto"/>
      </w:divBdr>
    </w:div>
    <w:div w:id="957683745">
      <w:bodyDiv w:val="1"/>
      <w:marLeft w:val="0"/>
      <w:marRight w:val="0"/>
      <w:marTop w:val="0"/>
      <w:marBottom w:val="0"/>
      <w:divBdr>
        <w:top w:val="none" w:sz="0" w:space="0" w:color="auto"/>
        <w:left w:val="none" w:sz="0" w:space="0" w:color="auto"/>
        <w:bottom w:val="none" w:sz="0" w:space="0" w:color="auto"/>
        <w:right w:val="none" w:sz="0" w:space="0" w:color="auto"/>
      </w:divBdr>
    </w:div>
    <w:div w:id="1373074294">
      <w:bodyDiv w:val="1"/>
      <w:marLeft w:val="0"/>
      <w:marRight w:val="0"/>
      <w:marTop w:val="0"/>
      <w:marBottom w:val="0"/>
      <w:divBdr>
        <w:top w:val="none" w:sz="0" w:space="0" w:color="auto"/>
        <w:left w:val="none" w:sz="0" w:space="0" w:color="auto"/>
        <w:bottom w:val="none" w:sz="0" w:space="0" w:color="auto"/>
        <w:right w:val="none" w:sz="0" w:space="0" w:color="auto"/>
      </w:divBdr>
    </w:div>
    <w:div w:id="1524050502">
      <w:bodyDiv w:val="1"/>
      <w:marLeft w:val="0"/>
      <w:marRight w:val="0"/>
      <w:marTop w:val="0"/>
      <w:marBottom w:val="0"/>
      <w:divBdr>
        <w:top w:val="none" w:sz="0" w:space="0" w:color="auto"/>
        <w:left w:val="none" w:sz="0" w:space="0" w:color="auto"/>
        <w:bottom w:val="none" w:sz="0" w:space="0" w:color="auto"/>
        <w:right w:val="none" w:sz="0" w:space="0" w:color="auto"/>
      </w:divBdr>
    </w:div>
    <w:div w:id="1610158146">
      <w:bodyDiv w:val="1"/>
      <w:marLeft w:val="0"/>
      <w:marRight w:val="0"/>
      <w:marTop w:val="0"/>
      <w:marBottom w:val="0"/>
      <w:divBdr>
        <w:top w:val="none" w:sz="0" w:space="0" w:color="auto"/>
        <w:left w:val="none" w:sz="0" w:space="0" w:color="auto"/>
        <w:bottom w:val="none" w:sz="0" w:space="0" w:color="auto"/>
        <w:right w:val="none" w:sz="0" w:space="0" w:color="auto"/>
      </w:divBdr>
    </w:div>
    <w:div w:id="214476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azan@auction-house.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2076</Words>
  <Characters>13062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Ерш Татьяна Евгеньевна</cp:lastModifiedBy>
  <cp:revision>3</cp:revision>
  <dcterms:created xsi:type="dcterms:W3CDTF">2025-05-27T13:03:00Z</dcterms:created>
  <dcterms:modified xsi:type="dcterms:W3CDTF">2025-05-27T13:08:00Z</dcterms:modified>
</cp:coreProperties>
</file>