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Pr="001930FB" w:rsidRDefault="002E6B38">
      <w:pPr>
        <w:jc w:val="center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Pr="001930FB" w:rsidRDefault="002E6B38">
      <w:pPr>
        <w:jc w:val="center"/>
        <w:rPr>
          <w:rFonts w:ascii="Times New Roman" w:hAnsi="Times New Roman"/>
          <w:b/>
          <w:i/>
        </w:rPr>
      </w:pPr>
      <w:r w:rsidRPr="001930FB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77D5769B" w14:textId="222771C5" w:rsidR="00944D3A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</w:p>
    <w:p w14:paraId="4A62EF98" w14:textId="65E9D379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39919251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_,</w:t>
      </w:r>
    </w:p>
    <w:p w14:paraId="41F42E35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C67FAC" w:rsidRPr="001930FB" w:rsidRDefault="00C67FAC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</w:t>
      </w:r>
    </w:p>
    <w:p w14:paraId="67F2ACF3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6A120859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6A1CDB3F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юридический адрес (либо адрес </w:t>
      </w:r>
      <w:r w:rsidR="00A23D71" w:rsidRPr="001930FB">
        <w:rPr>
          <w:rFonts w:ascii="Times New Roman" w:hAnsi="Times New Roman" w:cs="Times New Roman"/>
          <w:color w:val="auto"/>
          <w:sz w:val="22"/>
          <w:szCs w:val="22"/>
        </w:rPr>
        <w:t>регистрации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) Претендента 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51020AE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2CC24D3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1686AB62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36C9BE44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C67FAC" w:rsidRPr="001930FB" w:rsidRDefault="00C6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8F19DD" w14:textId="5130377A" w:rsidR="00DF0DB5" w:rsidRPr="001930FB" w:rsidRDefault="002E6B3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06607F">
        <w:rPr>
          <w:rFonts w:ascii="Times New Roman" w:hAnsi="Times New Roman"/>
          <w:b/>
        </w:rPr>
        <w:t>принимая решение об участии в аукционе «</w:t>
      </w:r>
      <w:r w:rsidR="00E06A47" w:rsidRPr="0006607F">
        <w:rPr>
          <w:rFonts w:ascii="Times New Roman" w:hAnsi="Times New Roman"/>
          <w:b/>
        </w:rPr>
        <w:t>11</w:t>
      </w:r>
      <w:r w:rsidRPr="0006607F">
        <w:rPr>
          <w:rFonts w:ascii="Times New Roman" w:hAnsi="Times New Roman"/>
          <w:b/>
        </w:rPr>
        <w:t xml:space="preserve">» </w:t>
      </w:r>
      <w:r w:rsidR="00E06A47" w:rsidRPr="0006607F">
        <w:rPr>
          <w:rFonts w:ascii="Times New Roman" w:hAnsi="Times New Roman"/>
          <w:b/>
        </w:rPr>
        <w:t>июля</w:t>
      </w:r>
      <w:r w:rsidRPr="0006607F">
        <w:rPr>
          <w:rFonts w:ascii="Times New Roman" w:hAnsi="Times New Roman"/>
          <w:b/>
        </w:rPr>
        <w:t xml:space="preserve"> 2025 года </w:t>
      </w:r>
      <w:r w:rsidRPr="0006607F">
        <w:rPr>
          <w:rFonts w:ascii="Times New Roman" w:hAnsi="Times New Roman"/>
          <w:bCs/>
        </w:rPr>
        <w:t>по продаже объектов недвижимости, реали</w:t>
      </w:r>
      <w:r w:rsidRPr="001930FB">
        <w:rPr>
          <w:rFonts w:ascii="Times New Roman" w:hAnsi="Times New Roman"/>
          <w:bCs/>
        </w:rPr>
        <w:t xml:space="preserve">зуемых единым лотом (далее – </w:t>
      </w:r>
      <w:r w:rsidR="00944D3A" w:rsidRPr="001930FB">
        <w:rPr>
          <w:rFonts w:ascii="Times New Roman" w:hAnsi="Times New Roman"/>
          <w:bCs/>
        </w:rPr>
        <w:t xml:space="preserve">Объекты, </w:t>
      </w:r>
      <w:r w:rsidRPr="001930FB">
        <w:rPr>
          <w:rFonts w:ascii="Times New Roman" w:hAnsi="Times New Roman"/>
          <w:bCs/>
        </w:rPr>
        <w:t xml:space="preserve">Лот):     </w:t>
      </w:r>
      <w:r w:rsidRPr="001930FB">
        <w:rPr>
          <w:rFonts w:ascii="Times New Roman" w:hAnsi="Times New Roman"/>
          <w:b/>
        </w:rPr>
        <w:t xml:space="preserve">           </w:t>
      </w:r>
    </w:p>
    <w:p w14:paraId="16DFFF57" w14:textId="77777777" w:rsidR="00DF0DB5" w:rsidRPr="001930FB" w:rsidRDefault="00DF0DB5">
      <w:pPr>
        <w:widowControl w:val="0"/>
        <w:jc w:val="both"/>
        <w:rPr>
          <w:rFonts w:ascii="Times New Roman" w:hAnsi="Times New Roman"/>
          <w:b/>
          <w:bCs/>
        </w:rPr>
      </w:pPr>
    </w:p>
    <w:p w14:paraId="196BF1A4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1:</w:t>
      </w:r>
      <w:r w:rsidRPr="001930FB">
        <w:rPr>
          <w:rFonts w:ascii="Times New Roman" w:hAnsi="Times New Roman"/>
        </w:rPr>
        <w:t xml:space="preserve"> Земельный участок, площадь: 501 +/- 8 кв. м, категория земель: земли населенных пунктов, виды разрешенного использования: трансформаторные подстанции (ТП), кадастровый номер 63:09:0103035:563,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юго-восточная часть кадастрового квартала 63:09:0102035.</w:t>
      </w:r>
    </w:p>
    <w:p w14:paraId="5D21ECEE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  <w:highlight w:val="white"/>
        </w:rPr>
      </w:pPr>
      <w:r w:rsidRPr="001930FB">
        <w:rPr>
          <w:rFonts w:ascii="Times New Roman" w:hAnsi="Times New Roman"/>
          <w:highlight w:val="white"/>
        </w:rPr>
        <w:t>Ограничение прав и обременение объекта недвижимости:</w:t>
      </w:r>
      <w:r w:rsidRPr="001930FB">
        <w:rPr>
          <w:rFonts w:ascii="Times New Roman" w:hAnsi="Times New Roman"/>
        </w:rPr>
        <w:t xml:space="preserve"> не зарегистрированы.</w:t>
      </w:r>
    </w:p>
    <w:p w14:paraId="798B43D2" w14:textId="77777777" w:rsidR="00131408" w:rsidRPr="001930FB" w:rsidRDefault="00131408" w:rsidP="00131408">
      <w:pPr>
        <w:tabs>
          <w:tab w:val="left" w:pos="1134"/>
        </w:tabs>
        <w:spacing w:line="252" w:lineRule="auto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указаны в Выписке из Единого государственного реестра недвижимости об объекте недвижимости;</w:t>
      </w:r>
    </w:p>
    <w:p w14:paraId="6EB5B590" w14:textId="77777777" w:rsidR="00131408" w:rsidRPr="001930FB" w:rsidRDefault="00131408" w:rsidP="00131408">
      <w:pPr>
        <w:tabs>
          <w:tab w:val="left" w:pos="1134"/>
        </w:tabs>
        <w:spacing w:line="252" w:lineRule="auto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2:</w:t>
      </w:r>
      <w:r w:rsidRPr="001930FB">
        <w:rPr>
          <w:rFonts w:ascii="Times New Roman" w:hAnsi="Times New Roman"/>
        </w:rPr>
        <w:t xml:space="preserve"> Земельный участок, площадь: 5271 +/- 25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63:09:0103035:7371,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1930FB">
        <w:rPr>
          <w:rFonts w:ascii="Times New Roman" w:hAnsi="Times New Roman"/>
        </w:rPr>
        <w:t>пр-кт</w:t>
      </w:r>
      <w:proofErr w:type="spellEnd"/>
      <w:r w:rsidRPr="001930FB">
        <w:rPr>
          <w:rFonts w:ascii="Times New Roman" w:hAnsi="Times New Roman"/>
        </w:rPr>
        <w:t xml:space="preserve">. Московский.  </w:t>
      </w:r>
    </w:p>
    <w:p w14:paraId="4C035344" w14:textId="77777777" w:rsidR="00131408" w:rsidRPr="001930FB" w:rsidRDefault="00131408" w:rsidP="00131408">
      <w:pPr>
        <w:tabs>
          <w:tab w:val="left" w:pos="1134"/>
        </w:tabs>
        <w:spacing w:line="252" w:lineRule="auto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Ограничение прав и обременение объекта недвижимости: не зарегистрированы;</w:t>
      </w:r>
    </w:p>
    <w:p w14:paraId="369E3E95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3:</w:t>
      </w:r>
      <w:r w:rsidRPr="001930FB">
        <w:rPr>
          <w:rFonts w:ascii="Times New Roman" w:hAnsi="Times New Roman"/>
        </w:rPr>
        <w:t xml:space="preserve"> Земельный участок, площадь: 1542 +/- 14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63:09:0103035:7368,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1930FB">
        <w:rPr>
          <w:rFonts w:ascii="Times New Roman" w:hAnsi="Times New Roman"/>
        </w:rPr>
        <w:t>пр-кт</w:t>
      </w:r>
      <w:proofErr w:type="spellEnd"/>
      <w:r w:rsidRPr="001930FB">
        <w:rPr>
          <w:rFonts w:ascii="Times New Roman" w:hAnsi="Times New Roman"/>
        </w:rPr>
        <w:t xml:space="preserve">. Московский. </w:t>
      </w:r>
    </w:p>
    <w:p w14:paraId="6FD39CAA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highlight w:val="white"/>
        </w:rPr>
        <w:t>Ограничение прав и обременение объекта недвижимости:</w:t>
      </w:r>
      <w:r w:rsidRPr="001930FB">
        <w:rPr>
          <w:rFonts w:ascii="Times New Roman" w:hAnsi="Times New Roman"/>
        </w:rPr>
        <w:t xml:space="preserve"> не зарегистрированы. </w:t>
      </w:r>
    </w:p>
    <w:p w14:paraId="242E0AFD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указаны в Выписке из Единого государственного реестра недвижимости об объекте недвижимости;</w:t>
      </w:r>
    </w:p>
    <w:p w14:paraId="15684EAD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4:</w:t>
      </w:r>
      <w:r w:rsidRPr="001930FB">
        <w:rPr>
          <w:rFonts w:ascii="Times New Roman" w:hAnsi="Times New Roman"/>
        </w:rPr>
        <w:t xml:space="preserve"> Земельный участок, </w:t>
      </w:r>
      <w:bookmarkStart w:id="0" w:name="_Hlk191984647"/>
      <w:r w:rsidRPr="001930FB">
        <w:rPr>
          <w:rFonts w:ascii="Times New Roman" w:hAnsi="Times New Roman"/>
        </w:rPr>
        <w:t xml:space="preserve">площадь: 4371 +/- 23 кв. м, </w:t>
      </w:r>
      <w:bookmarkEnd w:id="0"/>
      <w:r w:rsidRPr="001930FB">
        <w:rPr>
          <w:rFonts w:ascii="Times New Roman" w:hAnsi="Times New Roman"/>
        </w:rPr>
        <w:t xml:space="preserve">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63:09:0103035:7367,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1930FB">
        <w:rPr>
          <w:rFonts w:ascii="Times New Roman" w:hAnsi="Times New Roman"/>
        </w:rPr>
        <w:t>пр-кт</w:t>
      </w:r>
      <w:proofErr w:type="spellEnd"/>
      <w:r w:rsidRPr="001930FB">
        <w:rPr>
          <w:rFonts w:ascii="Times New Roman" w:hAnsi="Times New Roman"/>
        </w:rPr>
        <w:t xml:space="preserve">. Московский.   </w:t>
      </w:r>
    </w:p>
    <w:p w14:paraId="5D9EF041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Ограничение прав и обременение объекта недвижимости: не зарегистрированы.</w:t>
      </w:r>
    </w:p>
    <w:p w14:paraId="3573CA4D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lastRenderedPageBreak/>
        <w:t>Особые отметки указаны в Выписке из Единого государственного реестра недвижимости об объекте недвижимости;</w:t>
      </w:r>
    </w:p>
    <w:p w14:paraId="3624B9E6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5:</w:t>
      </w:r>
      <w:r w:rsidRPr="001930FB">
        <w:rPr>
          <w:rFonts w:ascii="Times New Roman" w:hAnsi="Times New Roman"/>
        </w:rPr>
        <w:t xml:space="preserve"> Земельный участок, площадь: 3396 +/- 20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63:09:0103035:7370,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1930FB">
        <w:rPr>
          <w:rFonts w:ascii="Times New Roman" w:hAnsi="Times New Roman"/>
        </w:rPr>
        <w:t>пр-кт</w:t>
      </w:r>
      <w:proofErr w:type="spellEnd"/>
      <w:r w:rsidRPr="001930FB">
        <w:rPr>
          <w:rFonts w:ascii="Times New Roman" w:hAnsi="Times New Roman"/>
        </w:rPr>
        <w:t xml:space="preserve">. Московский. </w:t>
      </w:r>
    </w:p>
    <w:p w14:paraId="39FC82CC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Ограничение прав и обременение объекта недвижимости: не зарегистрированы.</w:t>
      </w:r>
    </w:p>
    <w:p w14:paraId="2732A893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Особые отметки указаны в Выписке из Единого государственного реестра недвижимости об объекте недвижимости;</w:t>
      </w:r>
    </w:p>
    <w:p w14:paraId="5D79C86C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6:</w:t>
      </w:r>
      <w:r w:rsidRPr="001930FB">
        <w:rPr>
          <w:rFonts w:ascii="Times New Roman" w:hAnsi="Times New Roman"/>
        </w:rPr>
        <w:t xml:space="preserve"> Земельный участок, площадь: 2746 +/- 18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63:09:0103035:7369, расположенный по адресу: 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1930FB">
        <w:rPr>
          <w:rFonts w:ascii="Times New Roman" w:hAnsi="Times New Roman"/>
        </w:rPr>
        <w:t>пр-кт</w:t>
      </w:r>
      <w:proofErr w:type="spellEnd"/>
      <w:r w:rsidRPr="001930FB">
        <w:rPr>
          <w:rFonts w:ascii="Times New Roman" w:hAnsi="Times New Roman"/>
        </w:rPr>
        <w:t xml:space="preserve">. Московский.   </w:t>
      </w:r>
    </w:p>
    <w:p w14:paraId="240AB9D8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Ограничение прав и обременение объекта недвижимости: не зарегистрированы.</w:t>
      </w:r>
    </w:p>
    <w:p w14:paraId="0F03A69A" w14:textId="5930D9E9" w:rsidR="00DF0DB5" w:rsidRPr="001930FB" w:rsidRDefault="00131408" w:rsidP="00131408">
      <w:pPr>
        <w:ind w:right="-57"/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 w:rsidRPr="001930FB">
        <w:rPr>
          <w:rFonts w:ascii="Times New Roman" w:hAnsi="Times New Roman"/>
        </w:rPr>
        <w:t>Особые отметки указаны в Выписке из Единого государственного реестра недвижимости об объекте недвижимости,</w:t>
      </w:r>
      <w:r w:rsidR="002E6B38" w:rsidRPr="001930FB">
        <w:rPr>
          <w:rFonts w:ascii="Times New Roman" w:hAnsi="Times New Roman"/>
          <w:b/>
        </w:rPr>
        <w:t xml:space="preserve"> обязуюсь:</w:t>
      </w:r>
    </w:p>
    <w:p w14:paraId="1A1B1BB8" w14:textId="77777777" w:rsidR="00DF0DB5" w:rsidRPr="001930FB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Pr="001930FB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1930FB">
        <w:rPr>
          <w:rFonts w:ascii="Times New Roman" w:hAnsi="Times New Roman"/>
          <w:b/>
        </w:rPr>
        <w:t xml:space="preserve">1. </w:t>
      </w:r>
      <w:r w:rsidRPr="001930FB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 w:rsidRPr="001930FB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1930FB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1930FB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>.</w:t>
      </w:r>
    </w:p>
    <w:p w14:paraId="1A97D97D" w14:textId="77777777" w:rsidR="00DF0DB5" w:rsidRPr="001930FB" w:rsidRDefault="00DF0DB5">
      <w:pPr>
        <w:jc w:val="both"/>
        <w:rPr>
          <w:rFonts w:ascii="Times New Roman" w:hAnsi="Times New Roman"/>
          <w:bCs/>
        </w:rPr>
      </w:pPr>
    </w:p>
    <w:p w14:paraId="4E7F57BE" w14:textId="30459A15" w:rsidR="00DF0DB5" w:rsidRPr="001930FB" w:rsidRDefault="002E6B38">
      <w:pPr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3E0EA7D5" w:rsidR="00DF0DB5" w:rsidRPr="001930FB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</w:rPr>
        <w:t xml:space="preserve">2.1. Заключить </w:t>
      </w:r>
      <w:r w:rsidRPr="001930FB">
        <w:rPr>
          <w:rFonts w:ascii="Times New Roman" w:hAnsi="Times New Roman"/>
          <w:bCs/>
        </w:rPr>
        <w:t xml:space="preserve">Договор купли-продажи Лота с Продавцом в течение 10 (десяти) рабочих дней </w:t>
      </w:r>
      <w:r w:rsidR="00314BAB">
        <w:rPr>
          <w:rFonts w:ascii="Times New Roman" w:hAnsi="Times New Roman"/>
          <w:bCs/>
        </w:rPr>
        <w:t>с даты</w:t>
      </w:r>
      <w:r w:rsidRPr="001930FB">
        <w:rPr>
          <w:rFonts w:ascii="Times New Roman" w:hAnsi="Times New Roman"/>
          <w:bCs/>
        </w:rPr>
        <w:t xml:space="preserve"> подведения итогов аукциона в соответствии с примерной формой, размещенной на сайте www.lot-online.ru в разделе «карточка лота».</w:t>
      </w:r>
    </w:p>
    <w:p w14:paraId="29200E22" w14:textId="0802A7E5" w:rsidR="00DF0DB5" w:rsidRPr="001930FB" w:rsidRDefault="00E028B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2.</w:t>
      </w:r>
      <w:r w:rsidR="006854D7" w:rsidRPr="001930FB">
        <w:rPr>
          <w:rFonts w:ascii="Times New Roman" w:hAnsi="Times New Roman"/>
          <w:bCs/>
        </w:rPr>
        <w:t>2</w:t>
      </w:r>
      <w:r w:rsidRPr="001930FB">
        <w:rPr>
          <w:rFonts w:ascii="Times New Roman" w:hAnsi="Times New Roman"/>
          <w:bCs/>
        </w:rPr>
        <w:t>.</w:t>
      </w:r>
      <w:r w:rsidR="00BF7C7A" w:rsidRPr="001930FB">
        <w:rPr>
          <w:rFonts w:ascii="Times New Roman" w:hAnsi="Times New Roman"/>
          <w:bCs/>
        </w:rPr>
        <w:t xml:space="preserve"> </w:t>
      </w:r>
      <w:r w:rsidR="002E6B38" w:rsidRPr="001930FB">
        <w:rPr>
          <w:rFonts w:ascii="Times New Roman" w:hAnsi="Times New Roman"/>
          <w:bCs/>
        </w:rPr>
        <w:t>Оплата цены продажи Лота производится Победителем аукциона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2CEDFA2F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7CEA00CD" w14:textId="054B1840" w:rsidR="00DF0DB5" w:rsidRPr="00C027CD" w:rsidRDefault="002E6B38">
      <w:pPr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  <w:b/>
        </w:rPr>
        <w:t>3.</w:t>
      </w:r>
      <w:r w:rsidRPr="00C027CD">
        <w:rPr>
          <w:rFonts w:ascii="Times New Roman" w:hAnsi="Times New Roman"/>
        </w:rPr>
        <w:t xml:space="preserve"> </w:t>
      </w:r>
      <w:r w:rsidRPr="00C027CD">
        <w:rPr>
          <w:rFonts w:ascii="Times New Roman" w:hAnsi="Times New Roman"/>
          <w:b/>
        </w:rPr>
        <w:t>Мне известно, что</w:t>
      </w:r>
      <w:r w:rsidRPr="00C027CD">
        <w:rPr>
          <w:rFonts w:ascii="Times New Roman" w:hAnsi="Times New Roman"/>
        </w:rPr>
        <w:t xml:space="preserve">: </w:t>
      </w:r>
    </w:p>
    <w:p w14:paraId="382DC45D" w14:textId="77777777" w:rsidR="00DF0DB5" w:rsidRPr="00C027CD" w:rsidRDefault="002E6B38">
      <w:pPr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4A483432" w:rsidR="00DF0DB5" w:rsidRPr="001930FB" w:rsidRDefault="002E6B38">
      <w:pPr>
        <w:ind w:left="-15" w:right="60"/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>3.2. При уклонении (отказе) Победителя аукциона</w:t>
      </w:r>
      <w:r w:rsidR="006854D7" w:rsidRPr="00C027CD">
        <w:rPr>
          <w:rFonts w:ascii="Times New Roman" w:hAnsi="Times New Roman"/>
          <w:bCs/>
        </w:rPr>
        <w:t>/Единственного участника аукциона</w:t>
      </w:r>
      <w:r w:rsidRPr="00C027CD">
        <w:rPr>
          <w:rFonts w:ascii="Times New Roman" w:hAnsi="Times New Roman"/>
        </w:rPr>
        <w:t xml:space="preserve"> (Покупателя)</w:t>
      </w:r>
      <w:r w:rsidRPr="00C027CD">
        <w:rPr>
          <w:rFonts w:ascii="Times New Roman" w:hAnsi="Times New Roman"/>
          <w:b/>
        </w:rPr>
        <w:t xml:space="preserve"> </w:t>
      </w:r>
      <w:proofErr w:type="gramStart"/>
      <w:r w:rsidR="00C85E88" w:rsidRPr="00C027CD">
        <w:rPr>
          <w:rFonts w:ascii="Times New Roman" w:hAnsi="Times New Roman"/>
          <w:bCs/>
        </w:rPr>
        <w:t>от  подписания</w:t>
      </w:r>
      <w:proofErr w:type="gramEnd"/>
      <w:r w:rsidR="00C85E88" w:rsidRPr="00C027CD">
        <w:rPr>
          <w:rFonts w:ascii="Times New Roman" w:hAnsi="Times New Roman"/>
          <w:bCs/>
        </w:rPr>
        <w:t xml:space="preserve"> договора купли-продажи Лота</w:t>
      </w:r>
      <w:r w:rsidR="00C85E88" w:rsidRPr="00C027CD">
        <w:rPr>
          <w:rFonts w:ascii="Times New Roman" w:hAnsi="Times New Roman"/>
          <w:b/>
        </w:rPr>
        <w:t xml:space="preserve">, </w:t>
      </w:r>
      <w:r w:rsidRPr="00C027CD">
        <w:rPr>
          <w:rFonts w:ascii="Times New Roman" w:hAnsi="Times New Roman"/>
        </w:rPr>
        <w:t>от оплаты покупной цены Лота в установленный срок</w:t>
      </w:r>
      <w:r w:rsidR="006854D7" w:rsidRPr="00C027CD">
        <w:rPr>
          <w:rFonts w:ascii="Times New Roman" w:hAnsi="Times New Roman"/>
        </w:rPr>
        <w:t>,</w:t>
      </w:r>
      <w:r w:rsidRPr="00C027CD">
        <w:rPr>
          <w:rFonts w:ascii="Times New Roman" w:hAnsi="Times New Roman"/>
        </w:rPr>
        <w:t xml:space="preserve"> задаток ему не возвращается, </w:t>
      </w:r>
      <w:bookmarkStart w:id="1" w:name="_Hlk195176725"/>
      <w:r w:rsidRPr="00C027CD">
        <w:rPr>
          <w:rFonts w:ascii="Times New Roman" w:hAnsi="Times New Roman"/>
        </w:rPr>
        <w:t>и он утрачивает право на заключение договора купли-продажи Лота.</w:t>
      </w:r>
      <w:r w:rsidRPr="001930FB">
        <w:rPr>
          <w:rFonts w:ascii="Times New Roman" w:hAnsi="Times New Roman"/>
        </w:rPr>
        <w:t xml:space="preserve"> </w:t>
      </w:r>
      <w:bookmarkEnd w:id="1"/>
    </w:p>
    <w:p w14:paraId="6422DB60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6AB74880" w14:textId="40A3B9FC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</w:rPr>
        <w:t>4.</w:t>
      </w:r>
      <w:r w:rsidRPr="001930FB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Объектов, подлежащих реализации на аукционе, и документацией к ним.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14653CB5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AD695F1" w14:textId="3C50895F" w:rsidR="00DF0DB5" w:rsidRPr="001930FB" w:rsidRDefault="002E6B38" w:rsidP="006854D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/>
          <w:bCs/>
        </w:rPr>
        <w:t>5</w:t>
      </w:r>
      <w:r w:rsidRPr="001930FB">
        <w:rPr>
          <w:rFonts w:ascii="Times New Roman" w:hAnsi="Times New Roman"/>
          <w:b/>
        </w:rPr>
        <w:t>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Лота</w:t>
      </w:r>
      <w:r w:rsidR="002935B4">
        <w:rPr>
          <w:rFonts w:ascii="Times New Roman" w:hAnsi="Times New Roman"/>
        </w:rPr>
        <w:t xml:space="preserve"> с единственным участником аукциона</w:t>
      </w:r>
      <w:r w:rsidRPr="001930FB"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</w:t>
      </w:r>
      <w:r w:rsidR="006854D7" w:rsidRPr="001930FB"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«карточка лота».</w:t>
      </w:r>
      <w:r w:rsidRPr="001930FB">
        <w:rPr>
          <w:rFonts w:ascii="Times New Roman" w:hAnsi="Times New Roman"/>
        </w:rPr>
        <w:t xml:space="preserve"> </w:t>
      </w:r>
      <w:r w:rsidR="002935B4" w:rsidRPr="002935B4">
        <w:rPr>
          <w:rFonts w:ascii="Times New Roman" w:hAnsi="Times New Roman"/>
        </w:rPr>
        <w:t>Для единственного участника торгов заключение договора купли-продажи является обязательным.</w:t>
      </w:r>
      <w:r w:rsidRPr="001930FB">
        <w:rPr>
          <w:rFonts w:ascii="Times New Roman" w:hAnsi="Times New Roman"/>
        </w:rPr>
        <w:t xml:space="preserve"> Оплата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>Лота производится единственным участником аукциона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Лота, в соответствии с условиями такого договора купли-продажи.</w:t>
      </w:r>
      <w:r w:rsidRPr="001930FB">
        <w:rPr>
          <w:rFonts w:ascii="Times New Roman" w:hAnsi="Times New Roman"/>
          <w:b/>
        </w:rPr>
        <w:t xml:space="preserve"> </w:t>
      </w:r>
    </w:p>
    <w:p w14:paraId="6542FC24" w14:textId="77777777" w:rsidR="00DF0DB5" w:rsidRPr="001930FB" w:rsidRDefault="00DF0DB5">
      <w:pPr>
        <w:ind w:left="-15" w:right="60"/>
        <w:jc w:val="both"/>
        <w:rPr>
          <w:rFonts w:ascii="Times New Roman" w:hAnsi="Times New Roman"/>
          <w:b/>
        </w:rPr>
      </w:pPr>
    </w:p>
    <w:p w14:paraId="55CFD6C1" w14:textId="44B19B71" w:rsidR="00DF0DB5" w:rsidRPr="001930FB" w:rsidRDefault="002E6B38" w:rsidP="00480555">
      <w:pPr>
        <w:ind w:right="60"/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  <w:bCs/>
        </w:rPr>
        <w:t>6.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по результатам торгов в установленный срок, от оплаты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 xml:space="preserve">Лота, договор купли-продажи  может быть заключен с участником аукциона, сделавшим предпоследнее предложение по цене  в ходе торгов, в течение 10 (десяти) рабочих дней с даты получения от </w:t>
      </w:r>
      <w:r w:rsidR="00BD348E" w:rsidRPr="001930FB">
        <w:rPr>
          <w:rFonts w:ascii="Times New Roman" w:hAnsi="Times New Roman"/>
        </w:rPr>
        <w:t>собственника имущества (Продавца) предложения о заключении договора купли-продажи Объектов.</w:t>
      </w:r>
      <w:r w:rsidR="001930FB"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hAnsi="Times New Roman"/>
        </w:rPr>
        <w:t xml:space="preserve">Заключение договора купли-продажи таким участником не является обязательным. При этом оплата цены Лота производится участником аукциона, сделавшим предпоследнее предложение по цене </w:t>
      </w:r>
      <w:r w:rsidR="003B3B43" w:rsidRPr="001930FB">
        <w:rPr>
          <w:rFonts w:ascii="Times New Roman" w:hAnsi="Times New Roman"/>
        </w:rPr>
        <w:t xml:space="preserve">Лота </w:t>
      </w:r>
      <w:r w:rsidRPr="001930FB">
        <w:rPr>
          <w:rFonts w:ascii="Times New Roman" w:hAnsi="Times New Roman"/>
        </w:rPr>
        <w:t xml:space="preserve">в ходе торгов, в полном объеме путем безналичного перечисления денежных средств на расчетный счет Продавца, указанный в договоре купли-продажи Лота, в соответствии с условиями такого договора купли-продажи. </w:t>
      </w:r>
    </w:p>
    <w:p w14:paraId="216E969D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2A94B91D" w14:textId="52A9CDAB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eastAsia="Times New Roman" w:hAnsi="Times New Roman"/>
          <w:b/>
          <w:bCs/>
          <w:lang w:eastAsia="ru-RU"/>
        </w:rPr>
        <w:t>7.</w:t>
      </w:r>
      <w:r w:rsidRPr="001930FB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1930FB">
        <w:rPr>
          <w:rFonts w:ascii="Times New Roman" w:hAnsi="Times New Roman"/>
        </w:rPr>
        <w:t xml:space="preserve">статьей 9 </w:t>
      </w:r>
      <w:r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eastAsia="Times New Roman" w:hAnsi="Times New Roman"/>
          <w:bCs/>
          <w:lang w:eastAsia="ru-RU"/>
        </w:rPr>
        <w:t>152-ФЗ</w:t>
      </w:r>
      <w:r w:rsidRPr="001930FB">
        <w:rPr>
          <w:rFonts w:ascii="Times New Roman" w:hAnsi="Times New Roman"/>
        </w:rPr>
        <w:t xml:space="preserve"> «О персональных данных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Pr="001930FB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1930FB">
        <w:rPr>
          <w:rFonts w:ascii="Times New Roman" w:eastAsia="Times New Roman" w:hAnsi="Times New Roman"/>
          <w:bCs/>
          <w:lang w:eastAsia="ru-RU"/>
        </w:rPr>
        <w:t>на обработку</w:t>
      </w:r>
      <w:r w:rsidRPr="001930FB">
        <w:rPr>
          <w:rFonts w:ascii="Times New Roman" w:hAnsi="Times New Roman"/>
        </w:rPr>
        <w:t xml:space="preserve"> как неавтоматизированным, так и автоматизированным способами </w:t>
      </w:r>
      <w:r w:rsidR="003B3B43" w:rsidRPr="001930FB">
        <w:rPr>
          <w:rFonts w:ascii="Times New Roman" w:hAnsi="Times New Roman"/>
        </w:rPr>
        <w:t xml:space="preserve">Оператором электронной площадки, </w:t>
      </w:r>
      <w:r w:rsidRPr="001930FB">
        <w:rPr>
          <w:rFonts w:ascii="Times New Roman" w:hAnsi="Times New Roman"/>
        </w:rPr>
        <w:t>Организатором аукциона</w:t>
      </w:r>
      <w:r w:rsidR="003B3B43" w:rsidRPr="001930FB">
        <w:rPr>
          <w:rFonts w:ascii="Times New Roman" w:hAnsi="Times New Roman"/>
        </w:rPr>
        <w:t>,</w:t>
      </w:r>
      <w:r w:rsidRPr="001930FB">
        <w:rPr>
          <w:rFonts w:ascii="Times New Roman" w:hAnsi="Times New Roman"/>
        </w:rPr>
        <w:t xml:space="preserve"> согласно статье 3 </w:t>
      </w:r>
      <w:r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eastAsia="Times New Roman" w:hAnsi="Times New Roman"/>
          <w:bCs/>
          <w:lang w:eastAsia="ru-RU"/>
        </w:rPr>
        <w:t>152-ФЗ</w:t>
      </w:r>
      <w:r w:rsidRPr="001930FB">
        <w:rPr>
          <w:rFonts w:ascii="Times New Roman" w:hAnsi="Times New Roman"/>
        </w:rPr>
        <w:t xml:space="preserve"> «О персональных данных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Pr="001930FB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 w:rsidR="008F7DC1" w:rsidRPr="001930FB">
        <w:rPr>
          <w:rStyle w:val="afb"/>
          <w:rFonts w:ascii="Times New Roman" w:eastAsia="Times New Roman" w:hAnsi="Times New Roman"/>
          <w:lang w:eastAsia="ru-RU"/>
        </w:rPr>
        <w:footnoteReference w:id="1"/>
      </w:r>
      <w:r w:rsidRPr="001930FB"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944D3A" w:rsidRPr="001930FB" w:rsidRDefault="002E6B38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268E4A3B" w14:textId="0E4006BE" w:rsidR="00DF0DB5" w:rsidRPr="001930FB" w:rsidRDefault="002E6B38">
      <w:pPr>
        <w:rPr>
          <w:rFonts w:ascii="Times New Roman" w:hAnsi="Times New Roman"/>
          <w:bCs/>
        </w:rPr>
      </w:pPr>
      <w:proofErr w:type="gramStart"/>
      <w:r w:rsidRPr="001930FB">
        <w:rPr>
          <w:rFonts w:ascii="Times New Roman" w:hAnsi="Times New Roman"/>
          <w:bCs/>
        </w:rPr>
        <w:t>Приложение:</w:t>
      </w:r>
      <w:r w:rsidR="00944D3A" w:rsidRPr="001930FB">
        <w:rPr>
          <w:rFonts w:ascii="Times New Roman" w:hAnsi="Times New Roman"/>
          <w:bCs/>
        </w:rPr>
        <w:t>_</w:t>
      </w:r>
      <w:proofErr w:type="gramEnd"/>
      <w:r w:rsidR="00944D3A" w:rsidRPr="001930FB">
        <w:rPr>
          <w:rFonts w:ascii="Times New Roman" w:hAnsi="Times New Roman"/>
          <w:bCs/>
        </w:rPr>
        <w:t>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03B47929" w14:textId="38E174A7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B29D92B" w14:textId="1C706B53" w:rsidR="00944D3A" w:rsidRPr="001930FB" w:rsidRDefault="00944D3A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3BC271DB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8E2619A" w14:textId="4982692A" w:rsidR="00DF0DB5" w:rsidRPr="001930FB" w:rsidRDefault="002E6B38" w:rsidP="00B86D4B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>Подпись Претендента (его полномочного представителя)</w:t>
      </w:r>
      <w:r w:rsidR="00B86D4B" w:rsidRPr="001930FB">
        <w:rPr>
          <w:rFonts w:ascii="Times New Roman" w:hAnsi="Times New Roman"/>
        </w:rPr>
        <w:t xml:space="preserve">: </w:t>
      </w:r>
      <w:r w:rsidRPr="001930FB">
        <w:rPr>
          <w:rFonts w:ascii="Times New Roman" w:hAnsi="Times New Roman"/>
        </w:rPr>
        <w:t>_______________________________________________</w:t>
      </w:r>
    </w:p>
    <w:p w14:paraId="7C962FAF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0B6203F1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 xml:space="preserve">М.П.   </w:t>
      </w:r>
    </w:p>
    <w:p w14:paraId="44993F1A" w14:textId="77777777" w:rsidR="00B86D4B" w:rsidRPr="001930FB" w:rsidRDefault="00B86D4B">
      <w:pPr>
        <w:jc w:val="both"/>
        <w:rPr>
          <w:rFonts w:ascii="Times New Roman" w:hAnsi="Times New Roman"/>
        </w:rPr>
      </w:pPr>
    </w:p>
    <w:p w14:paraId="6FC71188" w14:textId="4A3DEC26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"_____" _____________ 2025 года</w:t>
      </w:r>
    </w:p>
    <w:sectPr w:rsidR="00DF0DB5" w:rsidRPr="001930FB" w:rsidSect="00480555">
      <w:footerReference w:type="default" r:id="rId9"/>
      <w:footerReference w:type="first" r:id="rId10"/>
      <w:pgSz w:w="11906" w:h="16838"/>
      <w:pgMar w:top="709" w:right="566" w:bottom="822" w:left="851" w:header="0" w:footer="4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9734" w14:textId="77777777" w:rsidR="004F71B6" w:rsidRDefault="004F71B6">
      <w:r>
        <w:separator/>
      </w:r>
    </w:p>
  </w:endnote>
  <w:endnote w:type="continuationSeparator" w:id="0">
    <w:p w14:paraId="2BA7818A" w14:textId="77777777" w:rsidR="004F71B6" w:rsidRDefault="004F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243452"/>
      <w:docPartObj>
        <w:docPartGallery w:val="Page Numbers (Bottom of Page)"/>
        <w:docPartUnique/>
      </w:docPartObj>
    </w:sdtPr>
    <w:sdtEndPr/>
    <w:sdtContent>
      <w:p w14:paraId="713DF7AD" w14:textId="77777777" w:rsidR="00DF0DB5" w:rsidRDefault="002E6B38">
        <w:pPr>
          <w:pStyle w:val="af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39D68" w14:textId="77777777" w:rsidR="00DF0DB5" w:rsidRDefault="00DF0DB5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3B8E" w14:textId="77777777" w:rsidR="00DF0DB5" w:rsidRDefault="00DF0DB5" w:rsidP="002E6B3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EC25" w14:textId="77777777" w:rsidR="004F71B6" w:rsidRDefault="004F71B6">
      <w:pPr>
        <w:rPr>
          <w:sz w:val="12"/>
        </w:rPr>
      </w:pPr>
      <w:r>
        <w:separator/>
      </w:r>
    </w:p>
  </w:footnote>
  <w:footnote w:type="continuationSeparator" w:id="0">
    <w:p w14:paraId="7244C86B" w14:textId="77777777" w:rsidR="004F71B6" w:rsidRDefault="004F71B6">
      <w:pPr>
        <w:rPr>
          <w:sz w:val="12"/>
        </w:rPr>
      </w:pPr>
      <w:r>
        <w:continuationSeparator/>
      </w:r>
    </w:p>
  </w:footnote>
  <w:footnote w:id="1">
    <w:p w14:paraId="50C2563C" w14:textId="1F3F72BA" w:rsidR="008F7DC1" w:rsidRPr="008F7DC1" w:rsidRDefault="008F7DC1" w:rsidP="008F7DC1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8F7DC1"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06607F"/>
    <w:rsid w:val="00131408"/>
    <w:rsid w:val="001930FB"/>
    <w:rsid w:val="002935B4"/>
    <w:rsid w:val="002E6B38"/>
    <w:rsid w:val="00314BAB"/>
    <w:rsid w:val="003B3B43"/>
    <w:rsid w:val="00480555"/>
    <w:rsid w:val="004D398A"/>
    <w:rsid w:val="004E13F7"/>
    <w:rsid w:val="004F71B6"/>
    <w:rsid w:val="006854D7"/>
    <w:rsid w:val="00741BFF"/>
    <w:rsid w:val="00763706"/>
    <w:rsid w:val="008F7DC1"/>
    <w:rsid w:val="00916BE0"/>
    <w:rsid w:val="00944D3A"/>
    <w:rsid w:val="009B056C"/>
    <w:rsid w:val="00A07E02"/>
    <w:rsid w:val="00A23D71"/>
    <w:rsid w:val="00B86D4B"/>
    <w:rsid w:val="00BC022E"/>
    <w:rsid w:val="00BD348E"/>
    <w:rsid w:val="00BF7C7A"/>
    <w:rsid w:val="00C027CD"/>
    <w:rsid w:val="00C67891"/>
    <w:rsid w:val="00C67FAC"/>
    <w:rsid w:val="00C85E88"/>
    <w:rsid w:val="00C96E49"/>
    <w:rsid w:val="00CB3D80"/>
    <w:rsid w:val="00D052D8"/>
    <w:rsid w:val="00D148E6"/>
    <w:rsid w:val="00D45D50"/>
    <w:rsid w:val="00D55B12"/>
    <w:rsid w:val="00DF0DB5"/>
    <w:rsid w:val="00E028B7"/>
    <w:rsid w:val="00E06A47"/>
    <w:rsid w:val="00E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13</cp:revision>
  <dcterms:created xsi:type="dcterms:W3CDTF">2025-04-09T10:24:00Z</dcterms:created>
  <dcterms:modified xsi:type="dcterms:W3CDTF">2025-05-28T06:37:00Z</dcterms:modified>
  <dc:language>ru-RU</dc:language>
</cp:coreProperties>
</file>