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E5BF3" w:rsidP="00D713A2">
      <w:pPr>
        <w:pStyle w:val="a3"/>
        <w:ind w:left="118" w:right="104" w:firstLine="283"/>
        <w:jc w:val="both"/>
      </w:pPr>
      <w:r w:rsidRPr="00FE5BF3">
        <w:t xml:space="preserve">Ананченко Дмитрий Владимирович (дата рождения: 31 августа 1974 г., место рождения: г. Ульяновск, страховой номер индивидуального лицевого счета: 059-254-060 67, ИНН 732603415952, регистрация по месту жительства / фактическое место жительства: 433310, Ульяновская область, рп Ишеевка, ул Пионерская, 30)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 xml:space="preserve">Решения Арбитражного суда </w:t>
      </w:r>
      <w:bookmarkStart w:id="0" w:name="_GoBack"/>
      <w:bookmarkEnd w:id="0"/>
      <w:r w:rsidRPr="00FE5BF3">
        <w:t>Ульяновской области по делу № А72-5275/2024 от 04.07.2024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E5BF3">
      <w:pPr>
        <w:pStyle w:val="a3"/>
        <w:spacing w:before="2"/>
        <w:ind w:left="118"/>
      </w:pPr>
      <w:r w:rsidRPr="00FE5BF3">
        <w:t>Ананченко Дмитрий Владимирович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FE5BF3" w:rsidRPr="00FE5BF3">
        <w:t>Ананченко Дмитрий Владимирович, ИНН 732603415952 Банк получателя: ФИЛИАЛ "ЦЕНТРАЛЬНЫЙ" ПАО "СОВКОМБАНК"(БЕРДСК), БИК: 045004763, ИНН банка 4401116480, к/с 30101810150040000763, кпп: 544543001, р/с № 40817810150201609434.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E5BF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E5BF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17CC"/>
    <w:rsid w:val="00C7522C"/>
    <w:rsid w:val="00D713A2"/>
    <w:rsid w:val="00E2149D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2025-05-27T07:59:00Z</dcterms:created>
  <dcterms:modified xsi:type="dcterms:W3CDTF">2025-05-27T07:59:00Z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