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270" w:hRule="exac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1"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1030</Words>
  <Characters>7229</Characters>
  <CharactersWithSpaces>8719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2024-10-10T16:16:20Z</dcterms:modified>
  <cp:revision>2</cp:revision>
  <dc:subject/>
  <dc:title/>
</cp:coreProperties>
</file>