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96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ПРОЕКТ ДОГОВОРА КУПЛИ-ПРОДАЖИ</w:t>
      </w:r>
      <w:r>
        <w:rPr>
          <w:b/>
        </w:rPr>
      </w:r>
      <w:r>
        <w:rPr>
          <w:b/>
        </w:rPr>
      </w:r>
    </w:p>
    <w:p>
      <w:pPr>
        <w:pStyle w:val="1096"/>
        <w:numPr>
          <w:ilvl w:val="0"/>
          <w:numId w:val="0"/>
        </w:numPr>
      </w:pPr>
      <w:r/>
      <w:bookmarkStart w:id="483" w:name="_Toc514805482"/>
      <w:r/>
      <w:bookmarkStart w:id="484" w:name="_Toc514814127"/>
      <w:r/>
      <w:bookmarkStart w:id="485" w:name="_Toc515659386"/>
      <w:r/>
      <w:bookmarkStart w:id="486" w:name="_Toc515887606"/>
      <w:r>
        <w:t xml:space="preserve">Пояснения к проекту Договора</w:t>
      </w:r>
      <w:bookmarkEnd w:id="483"/>
      <w:r/>
      <w:bookmarkEnd w:id="484"/>
      <w:r/>
      <w:bookmarkEnd w:id="485"/>
      <w:r/>
      <w:bookmarkEnd w:id="486"/>
      <w:r>
        <w:t xml:space="preserve"> купли-продажи:</w:t>
      </w:r>
      <w:r/>
    </w:p>
    <w:p>
      <w:pPr>
        <w:pStyle w:val="1096"/>
        <w:numPr>
          <w:ilvl w:val="0"/>
          <w:numId w:val="0"/>
        </w:numPr>
        <w:spacing w:before="0"/>
      </w:pPr>
      <w:r>
        <w:t xml:space="preserve">-</w:t>
      </w:r>
      <w:r>
        <w:tab/>
        <w:t xml:space="preserve">все положения проекта Договора являются существенными условиями для Продавца;</w:t>
      </w:r>
      <w:r/>
    </w:p>
    <w:p>
      <w:pPr>
        <w:pStyle w:val="1096"/>
        <w:numPr>
          <w:ilvl w:val="0"/>
          <w:numId w:val="0"/>
        </w:numPr>
        <w:spacing w:before="0"/>
      </w:pPr>
      <w:r>
        <w:t xml:space="preserve">-</w:t>
      </w:r>
      <w:r>
        <w:tab/>
        <w:t xml:space="preserve">любые предоставляем</w:t>
      </w:r>
      <w:r>
        <w:t xml:space="preserve">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проекта Договора;</w:t>
      </w:r>
      <w:r/>
    </w:p>
    <w:p>
      <w:pPr>
        <w:pStyle w:val="1096"/>
        <w:numPr>
          <w:ilvl w:val="0"/>
          <w:numId w:val="0"/>
        </w:numPr>
        <w:spacing w:before="0"/>
      </w:pPr>
      <w:r>
        <w:t xml:space="preserve">-</w:t>
      </w:r>
      <w:r>
        <w:tab/>
        <w:t xml:space="preserve">Продавец оставляет за собой право рассмотреть и принять перед подп</w:t>
      </w:r>
      <w:r>
        <w:t xml:space="preserve">исанием договора предложения и дополнительные (не носящие принципиального характера) изменения к Договору. В случае если стороны Договора не придут к соглашению об этих изменениях, они будут обязаны подписать Договор на условиях, изложенных в Документации.</w:t>
      </w:r>
      <w:r/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ДОГОВОР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купли-продажи  имущества</w:t>
      </w:r>
      <w:r>
        <w:rPr>
          <w:rFonts w:ascii="Times New Roman" w:hAnsi="Times New Roman" w:cs="Times New Roman"/>
          <w:b/>
          <w:sz w:val="22"/>
          <w:szCs w:val="22"/>
        </w:rPr>
        <w:t xml:space="preserve"> №_____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contextualSpacing/>
        <w:ind w:left="0" w:right="2" w:firstLine="0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п. Серебряный Б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«____» ___________ 2025 г.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Акционерное общество «Дальневосточная генерирующая компания» (АО «ДГК»), именуемое в дальнейшем «Продавец», в лице директора структурного подразделения «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Нерюнгринская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ГРЭС»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___________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, действующего на основании доверенности № ________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, с одной стороны, 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_________________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___, именуемая в дальнейшем «По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купатель», с другой стороны, по результатам проведенного Аукциона и на основании Протокола ________________ заключили настоящий Договор о нижеследующем: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1.ПРЕДМЕТ ДОГОВОРА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18"/>
          <w:szCs w:val="1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1.1.</w:t>
      </w:r>
      <w:r>
        <w:rPr>
          <w:rFonts w:ascii="Times New Roman" w:hAnsi="Times New Roman"/>
          <w:sz w:val="22"/>
          <w:szCs w:val="22"/>
        </w:rPr>
        <w:t xml:space="preserve"> В соответствии с условиями настоящего Договора Продавец передает в собственность Покупателя следующее 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: движимое и недвижимое имущество</w:t>
      </w:r>
      <w:r>
        <w:rPr>
          <w:rFonts w:ascii="Times New Roman" w:hAnsi="Times New Roman"/>
          <w:sz w:val="22"/>
          <w:szCs w:val="22"/>
        </w:rPr>
        <w:t xml:space="preserve">, расположенное в г. Нерюнгри, </w:t>
      </w:r>
      <w:r>
        <w:rPr>
          <w:rFonts w:ascii="Times New Roman" w:hAnsi="Times New Roman"/>
          <w:sz w:val="22"/>
          <w:szCs w:val="22"/>
        </w:rPr>
        <w:t xml:space="preserve">пгт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Серебряный</w:t>
      </w:r>
      <w:r>
        <w:rPr>
          <w:rFonts w:ascii="Times New Roman" w:hAnsi="Times New Roman"/>
          <w:sz w:val="22"/>
          <w:szCs w:val="22"/>
        </w:rPr>
        <w:t xml:space="preserve"> Бор Республики Саха (Якутия) РФ, база ПКУ (далее-Имущество).</w:t>
      </w:r>
      <w:r>
        <w:rPr>
          <w:rFonts w:ascii="Times New Roman" w:hAnsi="Times New Roman"/>
          <w:sz w:val="18"/>
          <w:szCs w:val="18"/>
          <w14:ligatures w14:val="none"/>
        </w:rPr>
      </w:r>
      <w:r>
        <w:rPr>
          <w:rFonts w:ascii="Times New Roman" w:hAnsi="Times New Roman"/>
          <w:sz w:val="18"/>
          <w:szCs w:val="18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18"/>
          <w:szCs w:val="18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  Состав Имущества, стоимость и данные о регистрации права на недвижимое имущество указаны в Приложение №1 «Перечень недвижимого имущества АО «ДГК», являющимся неотъемлемой частью настоящего Договора.</w:t>
      </w:r>
      <w:r>
        <w:rPr>
          <w:rFonts w:ascii="Times New Roman" w:hAnsi="Times New Roman"/>
          <w:sz w:val="18"/>
          <w:szCs w:val="18"/>
          <w14:ligatures w14:val="none"/>
        </w:rPr>
      </w:r>
      <w:r>
        <w:rPr>
          <w:rFonts w:ascii="Times New Roman" w:hAnsi="Times New Roman"/>
          <w:sz w:val="18"/>
          <w:szCs w:val="18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18"/>
          <w:szCs w:val="18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  Состав Имущества, стоимость движимого имущества указаны в Приложении №2 «Перечень движимого имущества АО «ДГК», являющимся неотъемлемой частью настоящего договора.</w:t>
      </w:r>
      <w:r>
        <w:rPr>
          <w:rFonts w:ascii="Times New Roman" w:hAnsi="Times New Roman"/>
          <w:sz w:val="18"/>
          <w:szCs w:val="18"/>
          <w14:ligatures w14:val="none"/>
        </w:rPr>
      </w:r>
      <w:r>
        <w:rPr>
          <w:rFonts w:ascii="Times New Roman" w:hAnsi="Times New Roman"/>
          <w:sz w:val="18"/>
          <w:szCs w:val="18"/>
          <w14:ligatures w14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Имущество расположено на земельном участке с кадастровым номером </w:t>
      </w:r>
      <w:r>
        <w:rPr>
          <w:rFonts w:ascii="Times New Roman" w:hAnsi="Times New Roman"/>
          <w:sz w:val="22"/>
          <w:szCs w:val="22"/>
          <w:lang w:eastAsia="ar-SA"/>
        </w:rPr>
        <w:t xml:space="preserve">14:19:209001:430,</w:t>
      </w:r>
      <w:r>
        <w:rPr>
          <w:rFonts w:ascii="Times New Roman" w:hAnsi="Times New Roman"/>
          <w:sz w:val="22"/>
          <w:szCs w:val="22"/>
        </w:rPr>
        <w:t xml:space="preserve"> предоставленном Продавцу на праве аренды (</w:t>
      </w: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№ 116, выдан 09.01.2007, дата государственной регистрации </w:t>
      </w:r>
      <w:r>
        <w:rPr>
          <w:rFonts w:ascii="Times New Roman" w:hAnsi="Times New Roman"/>
          <w:sz w:val="22"/>
          <w:szCs w:val="22"/>
        </w:rPr>
        <w:t xml:space="preserve">01.03.2007, номер государственной регистрации: 14-14-08/004/2007-279</w:t>
      </w:r>
      <w:r>
        <w:rPr>
          <w:rFonts w:ascii="Times New Roman" w:hAnsi="Times New Roman"/>
          <w:sz w:val="22"/>
          <w:szCs w:val="22"/>
        </w:rPr>
        <w:t xml:space="preserve">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Покупатель принимае</w:t>
      </w:r>
      <w:r>
        <w:rPr>
          <w:rFonts w:ascii="Times New Roman" w:hAnsi="Times New Roman"/>
          <w:sz w:val="22"/>
          <w:szCs w:val="22"/>
        </w:rPr>
        <w:t xml:space="preserve">т </w:t>
      </w:r>
      <w:r>
        <w:rPr>
          <w:rFonts w:ascii="Times New Roman" w:hAnsi="Times New Roman"/>
          <w:sz w:val="22"/>
          <w:szCs w:val="22"/>
        </w:rPr>
        <w:t xml:space="preserve">вышеуказанное Имущество, и уплачивает указанную настоящим Договором цену.</w:t>
      </w:r>
      <w:r>
        <w:rPr>
          <w:rFonts w:ascii="Times New Roman" w:hAnsi="Times New Roman"/>
          <w:sz w:val="26"/>
          <w:szCs w:val="26"/>
          <w14:ligatures w14:val="none"/>
        </w:rPr>
      </w:r>
      <w:r>
        <w:rPr>
          <w:rFonts w:ascii="Times New Roman" w:hAnsi="Times New Roman"/>
          <w:sz w:val="26"/>
          <w:szCs w:val="26"/>
          <w14:ligatures w14:val="none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ab/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firstLine="426"/>
        <w:jc w:val="both"/>
        <w:spacing w:before="0"/>
        <w:tabs>
          <w:tab w:val="left" w:pos="567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ab/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2.  ЦЕНА И ПОРЯДОК РАСЧЕТОВ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2.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1. Цена приобретаемого Покупателем Имущества, указанного в п. 1.1. настоящего Договора, составляет ___________ (______________) рублей 00 коп., в том числе НДС (20 %)  ____________ (_____________)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рублей 00 коп.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2.2.  Оплата производится в течение 5 (пяти) рабочих дней со дня заключения Договора, путём перечисления денежных средств от Покупателя на расчётный счёт Продавца, указанный в разделе 10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настоящего договора, за вычетом суммы задатка, внесенной Покупателем в соответствии с п.2.4. настоящего Договора.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2.3. Продавец выставляет счет, счёт-фактуру Покупателю в сроки и оформленный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color w:val="000000" w:themeColor="text1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2.4. Задаток, внесённый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Покупателем в соответствии с документацией о продаже имущества АО «ДГК»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 в сумме ___________ (_______________) рублей 00 коп. засчитывается  в счёт оплаты стоимости Имущества, НДС подлежит исчислению на дату поступления денежных средств.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2.5. Днём оплаты за Имущество считается день зачисления денежных средств в оплату этого Имущества на расчётный счёт, указанный Продавцом.       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2"/>
          <w:szCs w:val="22"/>
        </w:rPr>
        <w:t xml:space="preserve">3. ПОРЯДОК ПРИЕМКИ ИМУЩЕСТВА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shd w:val="clear" w:color="auto" w:fill="ffffff"/>
        <w:widowControl w:val="off"/>
        <w:tabs>
          <w:tab w:val="num" w:pos="2160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3.1.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В течение 3 (трех) рабочих дней после оплаты Имущества Продавец обязан переда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ть Покупателю Имущество п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Акту приема-передачи недвижимого и движимого имущества (по форме Приложения №3 к Договору), на недвижимое имущество Акт приема-передачи зданий (сооружений) по форме ОС-1а (по форме Приложения №4 к Дог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овору), на движимое имущество Акт о приеме - передаче групп объектов основных средств (кроме зданий, сооружений) по форме №ОС-1б (по форме Приложения №5 к Договору)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 Вместе с Имуществом Продавец передает Покупателю всю имеющуюся у Продавца документацию на Имущество.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3.2. Обязательство Продавца передать Имущест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ми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Акта приема-передачи недвижимого и движимого имущества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(по форме Приложения №3 к Договору), на недвижимое имущество Акт приема-передачи зданий (сооружений) по форме ОС-1а (по форме Приложения №4 к Дог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овору), на движимое имущество Акт о приеме - передаче групп объектов основных средств (кроме зданий, сооружений) по форме №ОС-1б (по форме Приложения №5 к Договору)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ind w:right="-2" w:firstLine="426"/>
        <w:jc w:val="both"/>
        <w:spacing w:before="0"/>
        <w:widowControl w:val="off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3.3. С момента подписания Акта приема-передачи ответственность за сохранность, обязанности по содержанию Имущества, а также риск его случайной гибели или порчи переходят к Покупателю.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3.4. Право собственности на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недвижимое имущество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, являющееся предметом настоящего Договора и указанное в п. 1.1, возникает у Покупателя с момента регистрации перехода права собственности на Имущество. Продавец представляет Покупателю документы, необх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одимые для государственной регистрации перехода права собственности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0"/>
          <w:numId w:val="42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0" w:leader="none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lang w:eastAsia="en-US"/>
        </w:rPr>
        <w:t xml:space="preserve">ОБЯЗАННОСТИ СТОРОН</w:t>
      </w:r>
      <w:r>
        <w:rPr>
          <w:rFonts w:ascii="Times New Roman" w:hAnsi="Times New Roman" w:cs="Times New Roman"/>
          <w:b/>
          <w:color w:val="000000" w:themeColor="text1"/>
          <w:sz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</w:rPr>
      </w:r>
    </w:p>
    <w:p>
      <w:pPr>
        <w:ind w:firstLine="426"/>
        <w:jc w:val="both"/>
        <w:spacing w:before="0"/>
        <w:widowControl w:val="off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4.1       </w:t>
      </w: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Покупатель обязан: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4.1.1 В течение 3 (трех) рабочих дней после оплаты принять от Продавца Имущество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по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Акту приема-передачи недвижимого и движимого имущества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(по форме Приложения №3 к Договору), на недвижимое имущество Акт приема-передачи зданий (сооружений) по форме ОС-1а (по форме Приложения №4 к Дог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овору), на движимое имущество Акт о приеме - передаче групп объектов основных средств (кроме зданий, сооружений) по форме №ОС-1б (по форме Приложения №5 к Договору)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numPr>
          <w:ilvl w:val="2"/>
          <w:numId w:val="47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7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Обеспечить подачу документов на государственную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5 (пяти) рабочих дней с даты передачи Имущества по актам приема-передачи имущества.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7"/>
        </w:numPr>
        <w:contextualSpacing/>
        <w:ind w:left="567" w:hanging="141"/>
        <w:jc w:val="both"/>
        <w:spacing w:before="0" w:after="160" w:line="259" w:lineRule="auto"/>
        <w:widowControl w:val="off"/>
        <w:tabs>
          <w:tab w:val="left" w:pos="426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Нести расходы за государственную регистрацию перехода права собственности.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7"/>
        </w:numPr>
        <w:contextualSpacing/>
        <w:ind w:left="11" w:firstLine="41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1"/>
          <w:numId w:val="47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Продавец обязан: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numPr>
          <w:ilvl w:val="2"/>
          <w:numId w:val="48"/>
        </w:numPr>
        <w:contextualSpacing/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В течение 3 (трех) рабочих дней после оплаты передать Покупателю Иму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щество по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Акту приема-передачи недвижимого и движимого имущества (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по форме Приложения №3 к Договору), на недвижимое имущество Акт приема-передачи зданий (сооружений) по форме ОС-1а (по форме Приложения №4 к Дог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овору), на движимое имущество Акт о приеме - передаче групп объектов основных средств (кроме зданий, сооружений) по форме №ОС-1б (по форме Приложения №5 к Договору)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  <w14:ligatures w14:val="none"/>
        </w:rPr>
      </w:r>
    </w:p>
    <w:p>
      <w:pPr>
        <w:numPr>
          <w:ilvl w:val="2"/>
          <w:numId w:val="47"/>
        </w:numPr>
        <w:ind w:left="0" w:firstLine="425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3 (трех) рабочих дней с даты передачи Имущества по актам приема-передач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</w:p>
    <w:p>
      <w:pPr>
        <w:numPr>
          <w:ilvl w:val="2"/>
          <w:numId w:val="47"/>
        </w:numPr>
        <w:ind w:left="0" w:firstLine="426"/>
        <w:jc w:val="both"/>
        <w:spacing w:before="0" w:after="160" w:line="259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 соверша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0"/>
          <w:numId w:val="48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ОТВЕТСТВЕННОСТЬ СТОРОН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5.1. В случае, если Покупателем не были исполнены обязательства по оплате Имущества или исполнены не в полном объеме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В случа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е отказа Покупателя от оплаты Имущества, задаток, внесенный Покупателем в соответствии с документацией о продаже имущества АО «ДГК»: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2"/>
          <w:szCs w:val="22"/>
        </w:rPr>
        <w:t xml:space="preserve">в сумме ________</w:t>
      </w: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  <w:t xml:space="preserve">__________ (____________) рублей 00 коп.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Покупателю не возвращается.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5.5. Надлежащим (достаточным) доказательством наличия/ возникновения и про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Отсутствие уведомления или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5.6. Во всем, что не предусмотрено настоящим Договором, Стороны руководствуются действующим законодательством РФ.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426"/>
        <w:jc w:val="both"/>
        <w:spacing w:before="0"/>
        <w:tabs>
          <w:tab w:val="left" w:pos="851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0"/>
          <w:numId w:val="43"/>
        </w:numPr>
        <w:contextualSpacing/>
        <w:ind w:left="0" w:firstLine="426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lang w:eastAsia="en-US"/>
        </w:rPr>
        <w:t xml:space="preserve">ГАРАНТИИ СТОРОН (ЗАВЕРЕНИЯ ОБ ОБСТОЯТЕЛЬСТВАХ)</w:t>
      </w:r>
      <w:r>
        <w:rPr>
          <w:rFonts w:ascii="Times New Roman" w:hAnsi="Times New Roman" w:cs="Times New Roman"/>
          <w:b/>
          <w:color w:val="000000" w:themeColor="text1"/>
          <w:sz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</w:rPr>
      </w:r>
    </w:p>
    <w:p>
      <w:pPr>
        <w:numPr>
          <w:ilvl w:val="1"/>
          <w:numId w:val="44"/>
        </w:numPr>
        <w:contextualSpacing/>
        <w:ind w:left="0" w:firstLine="426"/>
        <w:jc w:val="both"/>
        <w:spacing w:before="0" w:after="160" w:line="259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1"/>
          <w:numId w:val="45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Продавец заверяет и гарантирует Покупателю, что на дату заключения Договора:</w:t>
      </w:r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6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Продавец является действующим юридическим лицом и обладает правоспособностью на заключение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6.2.2 Лицо, подписывающее Договор и настоящие заверения от имени Продавца, обладает всеми необходимыми полномочиями на их подписание.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1"/>
          <w:numId w:val="46"/>
        </w:numPr>
        <w:contextualSpacing/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Покупатель заверяет и гарантирует Продавцу, что на дату заключения Договора: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6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Покупатель является действующим юридическим лицом/дееспособным лицом и обладает правоспособностью на заключение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2"/>
          <w:numId w:val="46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Лицо, подписывающее Договор и настоящие заверения от имени Покупателя, обладает всеми необходимыми полномочиями на их подписание.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1"/>
          <w:numId w:val="46"/>
        </w:numPr>
        <w:ind w:left="0" w:firstLine="426"/>
        <w:jc w:val="both"/>
        <w:spacing w:before="0" w:after="160" w:line="259" w:lineRule="auto"/>
        <w:widowControl w:val="off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Сторо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ны гарантируют, что на дату заключения Договора каждой из Сторон получены все необходимые корпоративные одобрения, требующиеся для заключения и исполнения Договора в соответствии с законодательством Российской Федерации и учредительными документами Сторон.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1"/>
          <w:numId w:val="46"/>
        </w:numPr>
        <w:ind w:left="0" w:firstLine="426"/>
        <w:jc w:val="both"/>
        <w:spacing w:before="0" w:after="160" w:line="259" w:lineRule="auto"/>
        <w:rPr>
          <w:rFonts w:ascii="Times New Roman" w:hAnsi="Times New Roman" w:cs="Times New Roman"/>
          <w:color w:val="000000" w:themeColor="text1"/>
          <w:sz w:val="22"/>
          <w:szCs w:val="22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Гарантии, перечисленные в настоящем разделе 6 Договора, являются в соответствии со статьей 431.2 ГК РФ заверениями об 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0"/>
          <w:numId w:val="45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СРОК ДЕЙСТВИЯ ДОГОВОРА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numPr>
          <w:ilvl w:val="0"/>
          <w:numId w:val="45"/>
        </w:numPr>
        <w:contextualSpacing/>
        <w:jc w:val="center"/>
        <w:spacing w:before="0" w:after="160" w:line="259" w:lineRule="auto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8.1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8.2.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8.3.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мaтepиaлы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8.4.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 по Договору до получения письменного 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8.5.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8.6.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8.7.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Каналы связи Линия доверия Группы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РусГидро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8.7.1. Электронная почта: ld@rushydro.ru;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8.7.2.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right="-2" w:firstLine="426"/>
        <w:jc w:val="both"/>
        <w:spacing w:before="0"/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 xml:space="preserve">8.7.3.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r>
    </w:p>
    <w:p>
      <w:pPr>
        <w:ind w:right="-2" w:firstLine="426"/>
        <w:jc w:val="both"/>
        <w:spacing w:before="0"/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  <w:highlight w:val="none"/>
        </w:rPr>
      </w:r>
    </w:p>
    <w:p>
      <w:pPr>
        <w:ind w:firstLine="426"/>
        <w:jc w:val="center"/>
        <w:spacing w:befor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9. ЗАКЛЮЧИТЕЛЬНЫЕ ПОЛОЖЕНИЯ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Неурегулированные разногласия подлежат разрешению между Сторонами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в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Арбитражном суде Республик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и Саха (Якутия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(по месту нахождения имущества).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9.2. Сторонами применяется обязательный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9.5 Договора.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9.3. Срок для рассмотрения претензии – 15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9.4.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9.5.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9.6.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Документы, переданные при совершении сделки, с использованием электронной почты признаются сторонами, как имеющие юридическую силу при условии последующего направления в 30-дневный срок подлинных документов в подтверждение копии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t xml:space="preserve">9.7.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тороны договорились в рамках исполнения Договора о возможности применения электронного документооборота, руководствуясь действующим законодательством Российской Федерации, Правилами операторов систем электронного документооборота (аккредитованных ФНС РФ),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с которыми у Сторон заключены соответствующие Соглашения, а также Регламентами предоставления услуг Операторов Удостоверяющих центров. Передача электронных документов осуществляется через АО «ПФ «СКБ Контур» с использованием web-решения Диадок (</w:t>
      </w:r>
      <w:hyperlink r:id="rId15" w:tooltip="Click to open https://www.diadoc.ru/" w:history="1">
        <w:r>
          <w:rPr>
            <w:rFonts w:ascii="Times New Roman" w:hAnsi="Times New Roman" w:eastAsia="Times New Roman" w:cs="Times New Roman"/>
            <w:color w:val="000000" w:themeColor="text1"/>
            <w:sz w:val="22"/>
            <w:szCs w:val="22"/>
          </w:rPr>
          <w:t xml:space="preserve">https://www.diadoc.ru/</w:t>
        </w:r>
      </w:hyperlink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). В случае использования Покупателем другого оператора электронного документооборота (аккредитованного ФНС РФ), Продавец, при наличии технической возможности у используемых Продавцом операторов, инициирует настройку роуминга между операторами систем э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лектронного документооборота Сторон.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9.8. Настоящий Договор составлен в 2 (двух) экземплярах, имеющих равную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юридическую силу, по одному для каждой сторон.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Приложение №1: Перечень недвижимого имущества АО «ДГК»;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Приложение №2: Перечень движимого имущества АО «ДГК»;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Приложение №3: Акт приема-передачи Имущества (форма).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Приложение №4: Акт приема-передачи здания (сооружения) № ОС-1а (форма).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</w:p>
    <w:p>
      <w:pPr>
        <w:ind w:firstLine="426"/>
        <w:jc w:val="both"/>
        <w:spacing w:before="0"/>
        <w:tabs>
          <w:tab w:val="left" w:pos="0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Приложение №5: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Акт о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приеме - передаче групп объектов основных средств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(кроме зданий, сооружений)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ОС-1б (форма). 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.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14:ligatures w14:val="none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firstLine="426"/>
        <w:jc w:val="both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b/>
          <w:color w:val="000000" w:themeColor="text1"/>
          <w:sz w:val="22"/>
          <w:szCs w:val="22"/>
        </w:rPr>
        <w:t xml:space="preserve">10. РЕКВИЗИТЫ И ПОДПИСИ СТОРОН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tbl>
      <w:tblPr>
        <w:tblW w:w="10001" w:type="dxa"/>
        <w:jc w:val="center"/>
        <w:tblLayout w:type="fixed"/>
        <w:tblLook w:val="04A0" w:firstRow="1" w:lastRow="0" w:firstColumn="1" w:lastColumn="0" w:noHBand="0" w:noVBand="1"/>
      </w:tblPr>
      <w:tblGrid>
        <w:gridCol w:w="5142"/>
        <w:gridCol w:w="4859"/>
      </w:tblGrid>
      <w:tr>
        <w:tblPrEx/>
        <w:trPr>
          <w:jc w:val="center"/>
          <w:trHeight w:val="288"/>
        </w:trPr>
        <w:tc>
          <w:tcPr>
            <w:tcW w:w="5142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ПРОДАВЕЦ: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firstLine="426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ПОКУПАТЕЛЬ: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jc w:val="center"/>
          <w:trHeight w:val="4598"/>
        </w:trPr>
        <w:tc>
          <w:tcPr>
            <w:tcW w:w="514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ПРОДАВЕЦ: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АО «ДГК»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Место нахождения: Российская Федерация,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Хабаровск      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680000, Хабаровский край,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Хабаровск, ул. Фрунзе, д.49     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  СП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Нерюнгринская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ГРЭС»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(для корреспонденци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и):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г.Нерюнгри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Серебряный Бор,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line="240" w:lineRule="exact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ИНН 1434031363, КПП 997650001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line="240" w:lineRule="exact"/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2"/>
                <w:szCs w:val="22"/>
              </w:rPr>
              <w:t xml:space="preserve">Наименование банка: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spacing w:line="240" w:lineRule="exact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Дальневосточный банк ПАО Сбербанк   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Хабаровск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БИК: 040813608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К/с: 30101810600000000608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line="240" w:lineRule="exact"/>
              <w:widowControl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Р/с: 40702810270000008818</w:t>
            </w:r>
            <w:r>
              <w:rPr>
                <w:rFonts w:ascii="Times New Roman" w:hAnsi="Times New Roman"/>
                <w:color w:val="000000"/>
                <w:spacing w:val="5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СП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Нерюнгринская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ГРЭС»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  <w:outlineLvl w:val="0"/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jc w:val="both"/>
              <w:spacing w:before="0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</w:rPr>
              <w:t xml:space="preserve">________________/_______________/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color w:val="000000" w:themeColor="text1"/>
                <w:sz w:val="20"/>
                <w:szCs w:val="20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bCs/>
                <w:strike w:val="0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142" w:type="dxa"/>
            <w:textDirection w:val="lrTb"/>
            <w:noWrap w:val="false"/>
          </w:tcPr>
          <w:p>
            <w:pPr>
              <w:contextualSpacing/>
              <w:jc w:val="both"/>
              <w:spacing w:before="0" w:after="160" w:line="283" w:lineRule="exact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strike w:val="0"/>
                <w:color w:val="000000" w:themeColor="text1"/>
                <w:sz w:val="20"/>
                <w:szCs w:val="20"/>
              </w:rPr>
              <w:t xml:space="preserve">«___» _____________ 2025 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/>
              <w:widowControl w:val="off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</w:rPr>
              <w:t xml:space="preserve">    «___» _____________ 2025 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firstLine="426"/>
        <w:jc w:val="both"/>
        <w:spacing w:before="0"/>
        <w:shd w:val="clear" w:color="auto" w:fill="ffffff"/>
        <w:widowControl w:val="off"/>
        <w:rPr>
          <w:rFonts w:ascii="Times New Roman" w:hAnsi="Times New Roman" w:cs="Times New Roman"/>
          <w:bCs/>
          <w:color w:val="000000" w:themeColor="text1"/>
          <w:sz w:val="22"/>
          <w:szCs w:val="22"/>
        </w:rPr>
        <w:sectPr>
          <w:footerReference w:type="default" r:id="rId9"/>
          <w:footnotePr/>
          <w:endnotePr/>
          <w:type w:val="nextColumn"/>
          <w:pgSz w:w="11906" w:h="16838" w:orient="portrait"/>
          <w:pgMar w:top="567" w:right="567" w:bottom="822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</w:r>
    </w:p>
    <w:p>
      <w:pPr>
        <w:jc w:val="right"/>
        <w:pageBreakBefore w:val="0"/>
        <w:shd w:val="clear" w:color="auto" w:fill="ffffff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Приложение №1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купли-продажи имущества АО «ДГК»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№______</w:t>
      </w:r>
      <w:r>
        <w:rPr>
          <w:rFonts w:ascii="Times New Roman" w:hAnsi="Times New Roman" w:cs="Times New Roman"/>
          <w:sz w:val="22"/>
          <w:szCs w:val="22"/>
        </w:rPr>
        <w:t xml:space="preserve">________ от  «___»__________202  </w:t>
      </w:r>
      <w:r>
        <w:rPr>
          <w:rFonts w:ascii="Times New Roman" w:hAnsi="Times New Roman" w:cs="Times New Roman"/>
          <w:sz w:val="22"/>
          <w:szCs w:val="22"/>
        </w:rPr>
        <w:t xml:space="preserve">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Перечень недвижимого имущества АО «ДГК»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4315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3244"/>
        <w:gridCol w:w="1454"/>
        <w:gridCol w:w="1413"/>
        <w:gridCol w:w="1131"/>
        <w:gridCol w:w="1687"/>
        <w:gridCol w:w="1134"/>
        <w:gridCol w:w="6"/>
        <w:gridCol w:w="844"/>
        <w:gridCol w:w="4"/>
        <w:gridCol w:w="1272"/>
      </w:tblGrid>
      <w:tr>
        <w:tblPrEx/>
        <w:trPr>
          <w:cantSplit/>
          <w:trHeight w:val="551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Тех. характеристики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Вид, номер и дата государственной регистрации права: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14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Стоимость без учета НДС,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НДС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%,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Стоимость с учетом НДС, руб.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Сооружение </w:t>
              <w:br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Саха (Якутия), г.Нерюнгри, пгт. Серебряный Бор, база ПКУ «Энерготрансснаба» ОАО «АК «Якутскэнерго», </w:t>
            </w:r>
            <w:r>
              <w:rPr>
                <w:b/>
                <w:sz w:val="18"/>
                <w:szCs w:val="18"/>
              </w:rPr>
              <w:t xml:space="preserve">Ж/д пути внутри баз и к ним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14:19:000000:4296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00000000000000022982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протяженность 1256 м, площадь - 580,7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14-14-08/016/2006-354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418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Производственный цех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Саха (Якутия) респ., г.Нерюнгри, п.Серебряный Бор, База ПКУ «Энерготрансснаба» ОАО АК "Якутскэнерго"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14:19:209001:523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00000000000000022842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2691,9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14-14-08/016/2006-344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Теплый склад  №8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14:19:209001:528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00000000000000022861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2955,6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14-14-08/016/2006-348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Здание</w:t>
              <w:br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Республика Саха (Якутия), г.Нерюнгри, пгт. Серебряный Бор, база ПКУ «Энерготрансснаба» АОА АК «Якутскэнерго», </w:t>
            </w:r>
            <w:r>
              <w:rPr>
                <w:b/>
                <w:sz w:val="18"/>
                <w:szCs w:val="18"/>
              </w:rPr>
              <w:t xml:space="preserve">тепло-холодный склад №7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14:19:000000:4207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00000000000000022841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2145,00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14-14-08/016/2006-350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Холодный склад  №5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14:19:209001:521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00000000000000022859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860,5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14-14-08/016/2006-352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Здание АБК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 14:19:209001:522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00000000000000022824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513,3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14-14-08/016/2006-346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Здание </w:t>
              <w:br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Саха (Якутия), г.Нерюнгри, пгт. Серебряный Бор, база ПКУ «Энерготрансснаба» ОАО АК «Якутскэнерго», </w:t>
            </w:r>
            <w:r>
              <w:rPr>
                <w:b/>
                <w:sz w:val="18"/>
                <w:szCs w:val="18"/>
              </w:rPr>
              <w:t xml:space="preserve">холодный склад №9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14:19:000000:4204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00000000000000022857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1158,6 кв.м.</w:t>
            </w:r>
            <w:r/>
          </w:p>
        </w:tc>
        <w:tc>
          <w:tcPr>
            <w:tcW w:w="16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14-14-08/016/2006-356 от 31.12.2006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1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84"/>
        </w:trPr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Сооружение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Республика Саха (Якутия), г. Нерюнгри, пгт. Серебряный Бор, промышленная зона (под базу ПКУ), </w:t>
            </w:r>
            <w:r>
              <w:rPr>
                <w:b/>
                <w:bCs/>
                <w:sz w:val="18"/>
                <w:szCs w:val="18"/>
              </w:rPr>
              <w:t xml:space="preserve">наружные тепловые сети</w: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14:19:000000:4318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ОНГ00000000000000016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</w:p>
        </w:tc>
        <w:tc>
          <w:tcPr>
            <w:tcW w:w="1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протяженность - 593 м.</w:t>
            </w:r>
            <w:r/>
          </w:p>
        </w:tc>
        <w:tc>
          <w:tcPr>
            <w:tcW w:w="1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№ 14:19:000000:4318-14/119/2023-6 от 20.04.2023</w:t>
            </w:r>
            <w:r/>
          </w:p>
        </w:tc>
        <w:tc>
          <w:tcPr>
            <w:gridSpan w:val="2"/>
            <w:tcW w:w="11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cantSplit/>
          <w:trHeight w:val="416"/>
        </w:trPr>
        <w:tc>
          <w:tcPr>
            <w:gridSpan w:val="7"/>
            <w:tcW w:w="11055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Стоимость недвижимого Имущества составляет  _______________ (__________________) рублей ___ копеек, в том числе НДС 20% в сумме ____________ (__________________________________________) рубля ___ копейки.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104"/>
      </w:tblGrid>
      <w:tr>
        <w:tblPrEx/>
        <w:trPr/>
        <w:tc>
          <w:tcPr>
            <w:shd w:val="clear" w:color="ffffff" w:fill="ffffff"/>
            <w:tcW w:w="47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ПРОДАВЕЦ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10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ПОКУПАТЕЛЬ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W w:w="47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подразделения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«ДГК»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«Нерюнгринская ГРЭС»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10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7"/>
        </w:trPr>
        <w:tc>
          <w:tcPr>
            <w:shd w:val="clear" w:color="ffffff" w:fill="ffffff"/>
            <w:tcW w:w="47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104" w:type="dxa"/>
            <w:textDirection w:val="lrTb"/>
            <w:noWrap w:val="false"/>
          </w:tcPr>
          <w:p>
            <w:pPr>
              <w:ind w:firstLine="32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 / ______________ 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Приложение №2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купли-продажи Имущества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№______</w:t>
      </w:r>
      <w:r>
        <w:rPr>
          <w:rFonts w:ascii="Times New Roman" w:hAnsi="Times New Roman" w:cs="Times New Roman"/>
          <w:sz w:val="22"/>
          <w:szCs w:val="22"/>
        </w:rPr>
        <w:t xml:space="preserve">________ от  «___»__________202   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«Перечень движимого имущества АО «ДГК»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Ind w:w="-30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827"/>
        <w:gridCol w:w="3462"/>
        <w:gridCol w:w="1984"/>
        <w:gridCol w:w="1468"/>
        <w:gridCol w:w="1096"/>
        <w:gridCol w:w="1356"/>
      </w:tblGrid>
      <w:tr>
        <w:tblPrEx/>
        <w:trPr>
          <w:jc w:val="center"/>
          <w:trHeight w:val="551"/>
          <w:tblHeader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6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без учета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 с учетом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86"/>
          <w:tblHeader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346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cantSplit/>
          <w:jc w:val="center"/>
          <w:trHeight w:val="66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Кран КСК-3042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00000000000000023422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Саха (Якутия),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ерюнгри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Серебряный Бор, база ПКУ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Энерготрансснаба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 ОАО "АК "Якутскэнерго"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cantSplit/>
          <w:jc w:val="center"/>
          <w:trHeight w:val="658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Кран КСК-3032 №1054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00000000000000023421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jc w:val="center"/>
          <w:trHeight w:val="658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Площадка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территория базы ПКУ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00000000000000022947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jc w:val="center"/>
          <w:trHeight w:val="416"/>
        </w:trPr>
        <w:tc>
          <w:tcPr>
            <w:gridSpan w:val="4"/>
            <w:tcW w:w="987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ИТОГО: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35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Стоимость движимого Имущества составляет ____________________ рублей</w:t>
      </w:r>
      <w:r>
        <w:rPr>
          <w:rFonts w:ascii="Times New Roman" w:hAnsi="Times New Roman" w:cs="Times New Roman"/>
          <w:sz w:val="22"/>
          <w:szCs w:val="22"/>
        </w:rPr>
        <w:t xml:space="preserve"> (____________________) </w:t>
      </w:r>
      <w:r>
        <w:rPr>
          <w:rFonts w:ascii="Times New Roman" w:hAnsi="Times New Roman" w:cs="Times New Roman"/>
          <w:sz w:val="22"/>
          <w:szCs w:val="22"/>
        </w:rPr>
        <w:t xml:space="preserve">рублей 00 копеек, в том числе НДС 20% в сумме ____________ (___________________) рублей _______ копеек.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78"/>
        <w:gridCol w:w="5953"/>
      </w:tblGrid>
      <w:tr>
        <w:tblPrEx/>
        <w:trPr/>
        <w:tc>
          <w:tcPr>
            <w:shd w:val="clear" w:color="ffffff" w:fill="ffffff"/>
            <w:tcW w:w="807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ПРОДАВЕЦ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9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ПОКУПАТЕЛЬ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ffffff" w:fill="ffffff"/>
            <w:tcW w:w="807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подразделения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«ДГК» «Нерюнгринская ГРЭС»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95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7"/>
        </w:trPr>
        <w:tc>
          <w:tcPr>
            <w:shd w:val="clear" w:color="ffffff" w:fill="ffffff"/>
            <w:tcW w:w="807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W w:w="5953" w:type="dxa"/>
            <w:textDirection w:val="lrTb"/>
            <w:noWrap w:val="false"/>
          </w:tcPr>
          <w:p>
            <w:pPr>
              <w:ind w:firstLine="32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________________ / ______________ 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right"/>
        <w:pageBreakBefore/>
        <w:widowControl w:val="off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Приложение №3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к договору купли-продажи Имущества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№______</w:t>
      </w:r>
      <w:r>
        <w:rPr>
          <w:rFonts w:ascii="Times New Roman" w:hAnsi="Times New Roman" w:cs="Times New Roman"/>
          <w:sz w:val="22"/>
          <w:szCs w:val="22"/>
        </w:rPr>
        <w:t xml:space="preserve">________ от  «___»__________202   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tabs>
          <w:tab w:val="left" w:pos="462" w:leader="none"/>
          <w:tab w:val="right" w:pos="14884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hd w:val="clear" w:color="auto" w:fill="ffff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center"/>
        <w:rPr>
          <w:rFonts w:ascii="Times New Roman" w:hAnsi="Times New Roman"/>
          <w:bCs/>
          <w:sz w:val="24"/>
          <w:szCs w:val="24"/>
          <w14:ligatures w14:val="none"/>
        </w:rPr>
      </w:pPr>
      <w:r>
        <w:rPr>
          <w:rFonts w:ascii="Times New Roman" w:hAnsi="Times New Roman"/>
          <w:sz w:val="26"/>
          <w:szCs w:val="26"/>
        </w:rPr>
        <w:t xml:space="preserve">Акт приема-передачи  имущества</w:t>
      </w:r>
      <w:r>
        <w:rPr>
          <w:rFonts w:ascii="Times New Roman" w:hAnsi="Times New Roman"/>
          <w:bCs/>
          <w:sz w:val="24"/>
          <w:szCs w:val="24"/>
          <w14:ligatures w14:val="none"/>
        </w:rPr>
      </w:r>
      <w:r>
        <w:rPr>
          <w:rFonts w:ascii="Times New Roman" w:hAnsi="Times New Roman"/>
          <w:bCs/>
          <w:sz w:val="24"/>
          <w:szCs w:val="24"/>
          <w14:ligatures w14:val="none"/>
        </w:rPr>
      </w:r>
    </w:p>
    <w:p>
      <w:pPr>
        <w:ind w:firstLine="426"/>
        <w:jc w:val="center"/>
        <w:spacing w:before="0"/>
        <w:shd w:val="clear" w:color="auto" w:fill="ffffff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(ФОРМА)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hd w:val="clear" w:color="auto" w:fill="ffffff"/>
        <w:tabs>
          <w:tab w:val="left" w:pos="6458" w:leader="none"/>
          <w:tab w:val="left" w:pos="7106" w:leader="underscore"/>
          <w:tab w:val="left" w:pos="8726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п. Серебряный Бор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«</w:t>
      </w:r>
      <w:r>
        <w:rPr>
          <w:rFonts w:ascii="Times New Roman" w:hAnsi="Times New Roman"/>
          <w:bCs/>
          <w:sz w:val="26"/>
          <w:szCs w:val="26"/>
        </w:rPr>
        <w:t xml:space="preserve">____» __________ 2025 г.                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shd w:val="clear" w:color="auto" w:fill="ffffff"/>
        <w:tabs>
          <w:tab w:val="left" w:pos="8364" w:leader="non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jc w:val="both"/>
        <w:rPr>
          <w:rFonts w:ascii="Times New Roman" w:hAnsi="Times New Roman"/>
          <w:spacing w:val="-4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Акционерное общество «Даль</w:t>
      </w:r>
      <w:r>
        <w:rPr>
          <w:rFonts w:ascii="Times New Roman" w:hAnsi="Times New Roman"/>
          <w:sz w:val="26"/>
          <w:szCs w:val="26"/>
        </w:rPr>
        <w:t xml:space="preserve">невосточная генерирующая компания» (АО «ДГК»), именуемое в дальнейшем «Продавец», в лице________________________________, действующего на основании доверенности № ___________________, с одной стороны, и __________, именуемое в дальнейшем «Покупатель», в ли</w:t>
      </w:r>
      <w:r>
        <w:rPr>
          <w:rFonts w:ascii="Times New Roman" w:hAnsi="Times New Roman"/>
          <w:sz w:val="26"/>
          <w:szCs w:val="26"/>
        </w:rPr>
        <w:t xml:space="preserve">це _____________________________, действующего на основании__________, с другой стороны, составили настоящий акт о том, что «Продавец» сдал, а «Покупатель» принял следующее </w:t>
      </w:r>
      <w:r>
        <w:rPr>
          <w:rFonts w:ascii="Times New Roman" w:hAnsi="Times New Roman"/>
          <w:spacing w:val="-4"/>
          <w:sz w:val="26"/>
          <w:szCs w:val="26"/>
        </w:rPr>
        <w:t xml:space="preserve">имущество: </w:t>
      </w:r>
      <w:r>
        <w:rPr>
          <w:rFonts w:ascii="Times New Roman" w:hAnsi="Times New Roman"/>
          <w:spacing w:val="-4"/>
          <w:sz w:val="26"/>
          <w:szCs w:val="26"/>
          <w:highlight w:val="none"/>
        </w:rPr>
      </w:r>
      <w:r>
        <w:rPr>
          <w:rFonts w:ascii="Times New Roman" w:hAnsi="Times New Roman"/>
          <w:spacing w:val="-4"/>
          <w:sz w:val="26"/>
          <w:szCs w:val="26"/>
          <w:highlight w:val="none"/>
        </w:rPr>
      </w:r>
    </w:p>
    <w:p>
      <w:pPr>
        <w:pStyle w:val="1127"/>
        <w:numPr>
          <w:ilvl w:val="0"/>
          <w:numId w:val="49"/>
        </w:numPr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  <w:highlight w:val="none"/>
        </w:rPr>
        <w:t xml:space="preserve">Недвижимое имущество:</w:t>
      </w: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</w:p>
    <w:tbl>
      <w:tblPr>
        <w:tblW w:w="1449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398"/>
        <w:gridCol w:w="280"/>
        <w:gridCol w:w="698"/>
        <w:gridCol w:w="1397"/>
        <w:gridCol w:w="2502"/>
        <w:gridCol w:w="1"/>
        <w:gridCol w:w="1701"/>
        <w:gridCol w:w="361"/>
        <w:gridCol w:w="914"/>
        <w:gridCol w:w="1276"/>
        <w:gridCol w:w="1276"/>
        <w:gridCol w:w="992"/>
        <w:gridCol w:w="1276"/>
      </w:tblGrid>
      <w:tr>
        <w:tblPrEx/>
        <w:trPr>
          <w:cantSplit/>
          <w:trHeight w:val="551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объектов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объект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Тех. характеристики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без учета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с учетом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gridSpan w:val="2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baseline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Сооружение 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Республика Саха (Якутия), г.Нерюнгри, пгт. Серебряный Бор, база ПКУ «Энерготрансснаба» ОАО «АК «Якутскэнерго», </w:t>
            </w:r>
            <w:r>
              <w:rPr>
                <w:b/>
                <w:sz w:val="16"/>
                <w:szCs w:val="16"/>
              </w:rPr>
              <w:t xml:space="preserve">Ж/д пути внутри баз и к ним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14:19:000000:4296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00000000000000022982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протяженность 1256 м, площадь - 580,7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418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Производственный цех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Саха (Якутия) респ., г.Нерюнгри, п.Серебряный Бор, База ПКУ «Энерготрансснаба» ОАО АК "Якутскэнерго"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14:19:209001:523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2691,9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Теплый склад  №8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14:19:209001:528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2955,6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Здание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Республика Саха (Якутия), г.Нерюнгри, пгт. Серебряный Бор, база ПКУ «Энерготрансснаба» АОА АК «Якутскэнерго», </w:t>
            </w:r>
            <w:r>
              <w:rPr>
                <w:b/>
                <w:sz w:val="16"/>
                <w:szCs w:val="16"/>
              </w:rPr>
              <w:t xml:space="preserve">тепло-холодный склад №7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14:19:000000:4207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2145,00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318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Холодный склад  №5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14:19:209001:521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860,5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Здание АБК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Саха (Якутия) респ., г.Нерюнгри, п.Серебряный Бор, База ПКУ «Энерготрансснаба» ОАО АК «Якутскэнерго»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 14:19:209001:522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513,3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cantSplit/>
          <w:trHeight w:val="184"/>
        </w:trPr>
        <w:tc>
          <w:tcPr>
            <w:tcW w:w="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67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Здание 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pStyle w:val="1096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Республика Саха (Якутия), г.Нерюнгри, пгт. Серебряный Бор, база ПКУ «Энерготрансснаба» ОАО АК «Якутскэнерго», </w:t>
            </w:r>
            <w:r>
              <w:rPr>
                <w:b/>
                <w:sz w:val="16"/>
                <w:szCs w:val="16"/>
              </w:rPr>
              <w:t xml:space="preserve">холодный склад №9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14:19:000000:4204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00000000000000022857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площадь 1158,6 кв.м.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84"/>
        </w:trPr>
        <w:tc>
          <w:tcPr>
            <w:tcW w:w="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678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Сооружение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W w:w="459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Республика Саха (Якутия), г. Нерюнгри, пгт. Серебряный Бор, промышленная зона (под базу ПКУ), </w:t>
            </w:r>
            <w:r>
              <w:rPr>
                <w:b/>
                <w:bCs/>
                <w:sz w:val="16"/>
                <w:szCs w:val="16"/>
              </w:rPr>
              <w:t xml:space="preserve">наружные тепловые сети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14:19:000000:4318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ОНГ00000000000000016</w:t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  <w:t xml:space="preserve">протяженность - 593 м.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84"/>
        </w:trPr>
        <w:tc>
          <w:tcPr>
            <w:gridSpan w:val="11"/>
            <w:tcW w:w="1094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  <w:t xml:space="preserve">2. Движимое имущество:</w:t>
      </w: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</w:p>
    <w:tbl>
      <w:tblPr>
        <w:tblW w:w="0" w:type="auto"/>
        <w:jc w:val="center"/>
        <w:tblInd w:w="-34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535"/>
        <w:gridCol w:w="2268"/>
        <w:gridCol w:w="2135"/>
        <w:gridCol w:w="1468"/>
        <w:gridCol w:w="1096"/>
        <w:gridCol w:w="1720"/>
      </w:tblGrid>
      <w:tr>
        <w:tblPrEx/>
        <w:trPr>
          <w:jc w:val="center"/>
          <w:trHeight w:val="551"/>
          <w:tblHeader/>
        </w:trPr>
        <w:tc>
          <w:tcPr>
            <w:tcW w:w="12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Инвентарный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без учета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 с учетом НДС, руб.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86"/>
          <w:tblHeader/>
        </w:trPr>
        <w:tc>
          <w:tcPr>
            <w:tcW w:w="126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  <w:tr>
        <w:tblPrEx/>
        <w:trPr>
          <w:cantSplit/>
          <w:jc w:val="center"/>
          <w:trHeight w:val="664"/>
        </w:trPr>
        <w:tc>
          <w:tcPr>
            <w:tcW w:w="1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Кран КСК-3042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00000000000000023422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 Саха (Якутия),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ерюнгри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Серебряный Бор, база ПКУ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Энерготрансснаба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 ОАО "АК "Якутскэнерго"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cantSplit/>
          <w:jc w:val="center"/>
          <w:trHeight w:val="658"/>
        </w:trPr>
        <w:tc>
          <w:tcPr>
            <w:tcW w:w="1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Кран КСК-3032 №1054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00000000000000023421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35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jc w:val="center"/>
          <w:trHeight w:val="658"/>
        </w:trPr>
        <w:tc>
          <w:tcPr>
            <w:tcW w:w="12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Площадка 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территория базы ПКУ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16"/>
                <w:szCs w:val="16"/>
                <w:u w:val="none"/>
              </w:rPr>
              <w:t xml:space="preserve">00000000000000022947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13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jc w:val="center"/>
          <w:trHeight w:val="416"/>
        </w:trPr>
        <w:tc>
          <w:tcPr>
            <w:gridSpan w:val="4"/>
            <w:tcW w:w="1019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ИТОГО: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4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7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</w:tr>
    </w:tbl>
    <w:p>
      <w:pPr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  <w:highlight w:val="none"/>
        </w:rPr>
      </w: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</w:p>
    <w:p>
      <w:pPr>
        <w:ind w:right="11" w:firstLine="567"/>
        <w:jc w:val="both"/>
        <w:shd w:val="clear" w:color="auto" w:fill="ffffff"/>
        <w:tabs>
          <w:tab w:val="left" w:pos="0" w:leader="none"/>
        </w:tabs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 xml:space="preserve">Общая стоимость имуществ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а составляет _______________ (_________________________) рублей, в том числе НДС __20% в сумме ___________________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_  (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_______________________) рублей.</w:t>
      </w:r>
      <w:r>
        <w:rPr>
          <w:rFonts w:ascii="Times New Roman" w:hAnsi="Times New Roman"/>
          <w:bCs/>
          <w:spacing w:val="-4"/>
          <w:sz w:val="26"/>
          <w:szCs w:val="26"/>
        </w:rPr>
      </w:r>
      <w:r>
        <w:rPr>
          <w:rFonts w:ascii="Times New Roman" w:hAnsi="Times New Roman"/>
          <w:bCs/>
          <w:spacing w:val="-4"/>
          <w:sz w:val="26"/>
          <w:szCs w:val="26"/>
        </w:rPr>
      </w:r>
    </w:p>
    <w:p>
      <w:pPr>
        <w:ind w:left="-284" w:right="-284" w:firstLine="851"/>
        <w:jc w:val="both"/>
        <w:shd w:val="clear" w:color="auto" w:fill="ffff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Стороны взаимных претензий не имеют.</w:t>
      </w:r>
      <w:r>
        <w:rPr>
          <w:rFonts w:ascii="Times New Roman" w:hAnsi="Times New Roman"/>
          <w:bCs/>
          <w:sz w:val="26"/>
          <w:szCs w:val="26"/>
        </w:rPr>
      </w:r>
      <w:r>
        <w:rPr>
          <w:rFonts w:ascii="Times New Roman" w:hAnsi="Times New Roman"/>
          <w:bCs/>
          <w:sz w:val="26"/>
          <w:szCs w:val="26"/>
        </w:rPr>
      </w:r>
    </w:p>
    <w:p>
      <w:pPr>
        <w:ind w:right="11" w:firstLine="567"/>
        <w:jc w:val="both"/>
        <w:shd w:val="clear" w:color="auto" w:fill="ffffff"/>
        <w:tabs>
          <w:tab w:val="left" w:pos="0" w:leader="none"/>
        </w:tabs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Акт составлен в двух экземплярах, обладающих одинаковой юридической силой, по одному для каждой из Сторон</w:t>
      </w:r>
      <w:r>
        <w:rPr>
          <w:rFonts w:ascii="Times New Roman" w:hAnsi="Times New Roman"/>
          <w:spacing w:val="-4"/>
          <w:sz w:val="26"/>
          <w:szCs w:val="26"/>
        </w:rPr>
        <w:t xml:space="preserve">. </w:t>
      </w: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</w:p>
    <w:p>
      <w:pPr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  <w:r>
        <w:rPr>
          <w:rFonts w:ascii="Times New Roman" w:hAnsi="Times New Roman"/>
          <w:spacing w:val="-4"/>
          <w:sz w:val="26"/>
          <w:szCs w:val="26"/>
        </w:rPr>
      </w:r>
    </w:p>
    <w:tbl>
      <w:tblPr>
        <w:tblW w:w="13897" w:type="dxa"/>
        <w:jc w:val="center"/>
        <w:tblInd w:w="-3139" w:type="dxa"/>
        <w:tblLayout w:type="fixed"/>
        <w:tblLook w:val="04A0" w:firstRow="1" w:lastRow="0" w:firstColumn="1" w:lastColumn="0" w:noHBand="0" w:noVBand="1"/>
      </w:tblPr>
      <w:tblGrid>
        <w:gridCol w:w="7782"/>
        <w:gridCol w:w="6115"/>
      </w:tblGrid>
      <w:tr>
        <w:tblPrEx/>
        <w:trPr>
          <w:jc w:val="center"/>
        </w:trPr>
        <w:tc>
          <w:tcPr>
            <w:tcW w:w="7782" w:type="dxa"/>
            <w:textDirection w:val="lrTb"/>
            <w:noWrap w:val="false"/>
          </w:tcPr>
          <w:p>
            <w:pPr>
              <w:ind w:left="102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Продавца: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15" w:type="dxa"/>
            <w:textDirection w:val="lrTb"/>
            <w:noWrap w:val="false"/>
          </w:tcPr>
          <w:p>
            <w:pPr>
              <w:ind w:left="102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Покупателя: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  <w:tr>
        <w:tblPrEx/>
        <w:trPr>
          <w:jc w:val="center"/>
        </w:trPr>
        <w:tc>
          <w:tcPr>
            <w:tcW w:w="7782" w:type="dxa"/>
            <w:textDirection w:val="lrTb"/>
            <w:noWrap w:val="false"/>
          </w:tcPr>
          <w:p>
            <w:pPr>
              <w:ind w:firstLine="3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ind w:firstLine="3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________________ /__________________ /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ind w:firstLine="3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6115" w:type="dxa"/>
            <w:textDirection w:val="lrTb"/>
            <w:noWrap w:val="false"/>
          </w:tcPr>
          <w:p>
            <w:pPr>
              <w:ind w:left="102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ind w:firstLine="3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_____________ / ______________ /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Форма согласована: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3818" w:type="dxa"/>
        <w:jc w:val="center"/>
        <w:tblInd w:w="-3520" w:type="dxa"/>
        <w:tblLayout w:type="fixed"/>
        <w:tblLook w:val="04A0" w:firstRow="1" w:lastRow="0" w:firstColumn="1" w:lastColumn="0" w:noHBand="0" w:noVBand="1"/>
      </w:tblPr>
      <w:tblGrid>
        <w:gridCol w:w="8198"/>
        <w:gridCol w:w="5619"/>
      </w:tblGrid>
      <w:tr>
        <w:tblPrEx/>
        <w:trPr>
          <w:jc w:val="center"/>
        </w:trPr>
        <w:tc>
          <w:tcPr>
            <w:tcW w:w="8198" w:type="dxa"/>
            <w:textDirection w:val="lrTb"/>
            <w:noWrap w:val="false"/>
          </w:tcPr>
          <w:p>
            <w:pPr>
              <w:ind w:left="102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Продавца: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619" w:type="dxa"/>
            <w:textDirection w:val="lrTb"/>
            <w:noWrap w:val="false"/>
          </w:tcPr>
          <w:p>
            <w:pPr>
              <w:ind w:left="102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Покупателя: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  <w:tr>
        <w:tblPrEx/>
        <w:trPr>
          <w:jc w:val="center"/>
        </w:trPr>
        <w:tc>
          <w:tcPr>
            <w:tcW w:w="819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none"/>
              </w:rPr>
              <w:t xml:space="preserve">__________________</w:t>
            </w:r>
            <w:r>
              <w:rPr>
                <w:rFonts w:ascii="Times New Roman" w:hAnsi="Times New Roman"/>
                <w:bCs/>
                <w:sz w:val="26"/>
                <w:szCs w:val="26"/>
                <w:u w:val="none"/>
              </w:rPr>
              <w:t xml:space="preserve">_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ind w:firstLine="3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5619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none"/>
              </w:rPr>
              <w:t xml:space="preserve">____________________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м.п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</w:tr>
    </w:tbl>
    <w:p>
      <w:pPr>
        <w:pStyle w:val="1096"/>
        <w:numPr>
          <w:ilvl w:val="0"/>
          <w:numId w:val="0"/>
        </w:numPr>
        <w:spacing w:before="0"/>
      </w:pPr>
      <w:r/>
      <w:r/>
    </w:p>
    <w:p>
      <w:pPr>
        <w:shd w:val="nil" w:color="auto"/>
      </w:pPr>
      <w:r>
        <w:br w:type="page" w:clear="all"/>
      </w:r>
      <w:r/>
    </w:p>
    <w:p>
      <w:r/>
      <w:r/>
    </w:p>
    <w:p>
      <w:pPr>
        <w:jc w:val="center"/>
        <w:rPr>
          <w:b/>
          <w:bCs/>
          <w:sz w:val="28"/>
          <w:szCs w:val="28"/>
          <w:highlight w:val="none"/>
        </w:rPr>
      </w:pPr>
      <w:r/>
      <w:bookmarkStart w:id="488" w:name="_Ref51372990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0" cy="8031758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6787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16199969" flipH="0" flipV="0">
                          <a:off x="0" y="0"/>
                          <a:ext cx="5715000" cy="8031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0.00pt;height:632.42pt;mso-wrap-distance-left:0.00pt;mso-wrap-distance-top:0.00pt;mso-wrap-distance-right:0.00pt;mso-wrap-distance-bottom:0.00pt;rotation:269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0123" cy="839694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5593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16199969" flipH="0" flipV="0">
                          <a:off x="0" y="0"/>
                          <a:ext cx="5960123" cy="8396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9.30pt;height:661.18pt;mso-wrap-distance-left:0.00pt;mso-wrap-distance-top:0.00pt;mso-wrap-distance-right:0.00pt;mso-wrap-distance-bottom:0.00pt;rotation:269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nil" w:color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3210" cy="840647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3984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16199969" flipH="0" flipV="0">
                          <a:off x="0" y="0"/>
                          <a:ext cx="5963209" cy="8406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9.54pt;height:661.93pt;mso-wrap-distance-left:0.00pt;mso-wrap-distance-top:0.00pt;mso-wrap-distance-right:0.00pt;mso-wrap-distance-bottom:0.00pt;rotation:269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31668" cy="821597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4301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16199969" flipH="0" flipV="0">
                          <a:off x="0" y="0"/>
                          <a:ext cx="5831668" cy="8215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9.19pt;height:646.93pt;mso-wrap-distance-left:0.00pt;mso-wrap-distance-top:0.00pt;mso-wrap-distance-right:0.00pt;mso-wrap-distance-bottom:0.00pt;rotation:269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77581" cy="813977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9506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rot="16199969" flipH="0" flipV="0">
                          <a:off x="0" y="0"/>
                          <a:ext cx="5777581" cy="8139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4.93pt;height:640.93pt;mso-wrap-distance-left:0.00pt;mso-wrap-distance-top:0.00pt;mso-wrap-distance-right:0.00pt;mso-wrap-distance-bottom:0.00pt;rotation:269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1518" cy="7863545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1351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rot="16199969" flipH="0" flipV="0">
                          <a:off x="0" y="0"/>
                          <a:ext cx="5581517" cy="786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39.49pt;height:619.18pt;mso-wrap-distance-left:0.00pt;mso-wrap-distance-top:0.00pt;mso-wrap-distance-right:0.00pt;mso-wrap-distance-bottom:0.00pt;rotation:269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74246" cy="840647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97550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 rot="16199969" flipH="0" flipV="0">
                          <a:off x="0" y="0"/>
                          <a:ext cx="5974246" cy="8406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70.41pt;height:661.93pt;mso-wrap-distance-left:0.00pt;mso-wrap-distance-top:0.00pt;mso-wrap-distance-right:0.00pt;mso-wrap-distance-bottom:0.00pt;rotation:269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br w:type="page" w:clear="all"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</w:rPr>
        <w:sectPr>
          <w:footerReference w:type="default" r:id="rId10"/>
          <w:footerReference w:type="first" r:id="rId11"/>
          <w:footnotePr/>
          <w:endnotePr/>
          <w:type w:val="nextPage"/>
          <w:pgSz w:w="16838" w:h="11906" w:orient="landscape"/>
          <w:pgMar w:top="1134" w:right="1134" w:bottom="567" w:left="1418" w:header="680" w:footer="0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</w:p>
    <w:sectPr>
      <w:footerReference w:type="default" r:id="rId12"/>
      <w:footerReference w:type="first" r:id="rId13"/>
      <w:footnotePr/>
      <w:endnotePr/>
      <w:type w:val="nextPage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jc w:val="right"/>
    </w:pPr>
    <w:fldSimple w:instr="PAGE \* MERGEFORMAT">
      <w:r>
        <w:t xml:space="preserve">1</w:t>
      </w:r>
    </w:fldSimple>
    <w:r/>
    <w:r/>
  </w:p>
  <w:p>
    <w:pPr>
      <w:pStyle w:val="10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  <w:p>
    <w:pPr>
      <w:pStyle w:val="1072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57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10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1146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pStyle w:val="909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10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96"/>
      <w:isLgl w:val="false"/>
      <w:suff w:val="tab"/>
      <w:lvlText w:val="%1.%2.%3"/>
      <w:lvlJc w:val="left"/>
      <w:pPr>
        <w:ind w:left="4962" w:hanging="1134"/>
        <w:tabs>
          <w:tab w:val="num" w:pos="4962" w:leader="none"/>
        </w:tabs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1099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105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pStyle w:val="1139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11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12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1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1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1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16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17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2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3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4"/>
  </w:num>
  <w:num w:numId="23">
    <w:abstractNumId w:val="16"/>
  </w:num>
  <w:num w:numId="24">
    <w:abstractNumId w:val="9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2"/>
  </w:num>
  <w:num w:numId="32">
    <w:abstractNumId w:val="9"/>
  </w:num>
  <w:num w:numId="33">
    <w:abstractNumId w:val="9"/>
  </w:num>
  <w:num w:numId="34">
    <w:abstractNumId w:val="8"/>
  </w:num>
  <w:num w:numId="35">
    <w:abstractNumId w:val="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30"/>
  </w:num>
  <w:num w:numId="46">
    <w:abstractNumId w:val="31"/>
  </w:num>
  <w:num w:numId="47">
    <w:abstractNumId w:val="32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6">
    <w:name w:val="Heading 1 Char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897">
    <w:name w:val="Heading 3 Char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898">
    <w:name w:val="Heading 4 Char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899">
    <w:name w:val="Heading 5 Char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00">
    <w:name w:val="Heading 6 Char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01">
    <w:name w:val="Heading 7 Char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8 Char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03">
    <w:name w:val="Heading 9 Char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character" w:styleId="904">
    <w:name w:val="Subtitle Char"/>
    <w:basedOn w:val="918"/>
    <w:link w:val="932"/>
    <w:uiPriority w:val="11"/>
    <w:rPr>
      <w:sz w:val="24"/>
      <w:szCs w:val="24"/>
    </w:rPr>
  </w:style>
  <w:style w:type="character" w:styleId="905">
    <w:name w:val="Quote Char"/>
    <w:link w:val="934"/>
    <w:uiPriority w:val="29"/>
    <w:rPr>
      <w:i/>
    </w:rPr>
  </w:style>
  <w:style w:type="character" w:styleId="906">
    <w:name w:val="Intense Quote Char"/>
    <w:link w:val="936"/>
    <w:uiPriority w:val="30"/>
    <w:rPr>
      <w:i/>
    </w:rPr>
  </w:style>
  <w:style w:type="character" w:styleId="907">
    <w:name w:val="Header Char"/>
    <w:basedOn w:val="918"/>
    <w:link w:val="1071"/>
    <w:uiPriority w:val="99"/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1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10">
    <w:name w:val="Heading 2"/>
    <w:basedOn w:val="908"/>
    <w:next w:val="908"/>
    <w:link w:val="1070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11">
    <w:name w:val="Heading 3"/>
    <w:basedOn w:val="908"/>
    <w:next w:val="908"/>
    <w:link w:val="923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12">
    <w:name w:val="Heading 4"/>
    <w:basedOn w:val="908"/>
    <w:next w:val="908"/>
    <w:link w:val="924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13">
    <w:name w:val="Heading 5"/>
    <w:basedOn w:val="908"/>
    <w:next w:val="908"/>
    <w:link w:val="925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14">
    <w:name w:val="Heading 6"/>
    <w:basedOn w:val="908"/>
    <w:next w:val="908"/>
    <w:link w:val="926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15">
    <w:name w:val="Heading 7"/>
    <w:basedOn w:val="908"/>
    <w:next w:val="908"/>
    <w:link w:val="927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16">
    <w:name w:val="Heading 8"/>
    <w:basedOn w:val="908"/>
    <w:next w:val="908"/>
    <w:link w:val="928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17">
    <w:name w:val="Heading 9"/>
    <w:basedOn w:val="908"/>
    <w:next w:val="908"/>
    <w:link w:val="929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character" w:styleId="921" w:customStyle="1">
    <w:name w:val="Заголовок 1 Знак"/>
    <w:basedOn w:val="918"/>
    <w:link w:val="909"/>
    <w:uiPriority w:val="9"/>
    <w:rPr>
      <w:rFonts w:ascii="Arial" w:hAnsi="Arial" w:eastAsia="Arial" w:cs="Arial"/>
      <w:sz w:val="40"/>
      <w:szCs w:val="40"/>
    </w:rPr>
  </w:style>
  <w:style w:type="character" w:styleId="922" w:customStyle="1">
    <w:name w:val="Heading 2 Char"/>
    <w:basedOn w:val="918"/>
    <w:uiPriority w:val="9"/>
    <w:rPr>
      <w:rFonts w:ascii="Arial" w:hAnsi="Arial" w:eastAsia="Arial" w:cs="Arial"/>
      <w:sz w:val="34"/>
    </w:rPr>
  </w:style>
  <w:style w:type="character" w:styleId="923" w:customStyle="1">
    <w:name w:val="Заголовок 3 Знак"/>
    <w:basedOn w:val="918"/>
    <w:link w:val="911"/>
    <w:uiPriority w:val="9"/>
    <w:rPr>
      <w:rFonts w:ascii="Arial" w:hAnsi="Arial" w:eastAsia="Arial" w:cs="Arial"/>
      <w:sz w:val="30"/>
      <w:szCs w:val="30"/>
    </w:rPr>
  </w:style>
  <w:style w:type="character" w:styleId="924" w:customStyle="1">
    <w:name w:val="Заголовок 4 Знак"/>
    <w:basedOn w:val="918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925" w:customStyle="1">
    <w:name w:val="Заголовок 5 Знак"/>
    <w:basedOn w:val="918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926" w:customStyle="1">
    <w:name w:val="Заголовок 6 Знак"/>
    <w:basedOn w:val="918"/>
    <w:link w:val="914"/>
    <w:uiPriority w:val="9"/>
    <w:rPr>
      <w:rFonts w:ascii="Arial" w:hAnsi="Arial" w:eastAsia="Arial" w:cs="Arial"/>
      <w:b/>
      <w:bCs/>
      <w:sz w:val="22"/>
      <w:szCs w:val="22"/>
    </w:rPr>
  </w:style>
  <w:style w:type="character" w:styleId="927" w:customStyle="1">
    <w:name w:val="Заголовок 7 Знак"/>
    <w:basedOn w:val="918"/>
    <w:link w:val="9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28" w:customStyle="1">
    <w:name w:val="Заголовок 8 Знак"/>
    <w:basedOn w:val="918"/>
    <w:link w:val="916"/>
    <w:uiPriority w:val="9"/>
    <w:rPr>
      <w:rFonts w:ascii="Arial" w:hAnsi="Arial" w:eastAsia="Arial" w:cs="Arial"/>
      <w:i/>
      <w:iCs/>
      <w:sz w:val="22"/>
      <w:szCs w:val="22"/>
    </w:rPr>
  </w:style>
  <w:style w:type="character" w:styleId="929" w:customStyle="1">
    <w:name w:val="Заголовок 9 Знак"/>
    <w:basedOn w:val="918"/>
    <w:link w:val="917"/>
    <w:uiPriority w:val="9"/>
    <w:rPr>
      <w:rFonts w:ascii="Arial" w:hAnsi="Arial" w:eastAsia="Arial" w:cs="Arial"/>
      <w:i/>
      <w:iCs/>
      <w:sz w:val="21"/>
      <w:szCs w:val="21"/>
    </w:rPr>
  </w:style>
  <w:style w:type="paragraph" w:styleId="930">
    <w:name w:val="No Spacing"/>
    <w:uiPriority w:val="1"/>
    <w:qFormat/>
    <w:pPr>
      <w:spacing w:before="0"/>
    </w:pPr>
  </w:style>
  <w:style w:type="character" w:styleId="931" w:customStyle="1">
    <w:name w:val="Title Char"/>
    <w:basedOn w:val="918"/>
    <w:uiPriority w:val="10"/>
    <w:rPr>
      <w:sz w:val="48"/>
      <w:szCs w:val="48"/>
    </w:rPr>
  </w:style>
  <w:style w:type="paragraph" w:styleId="932">
    <w:name w:val="Subtitle"/>
    <w:basedOn w:val="908"/>
    <w:next w:val="908"/>
    <w:link w:val="933"/>
    <w:uiPriority w:val="11"/>
    <w:qFormat/>
    <w:pPr>
      <w:spacing w:before="200" w:after="200"/>
    </w:pPr>
    <w:rPr>
      <w:sz w:val="24"/>
      <w:szCs w:val="24"/>
    </w:rPr>
  </w:style>
  <w:style w:type="character" w:styleId="933" w:customStyle="1">
    <w:name w:val="Подзаголовок Знак"/>
    <w:basedOn w:val="918"/>
    <w:link w:val="932"/>
    <w:uiPriority w:val="11"/>
    <w:rPr>
      <w:sz w:val="24"/>
      <w:szCs w:val="24"/>
    </w:rPr>
  </w:style>
  <w:style w:type="paragraph" w:styleId="934">
    <w:name w:val="Quote"/>
    <w:basedOn w:val="908"/>
    <w:next w:val="908"/>
    <w:link w:val="935"/>
    <w:uiPriority w:val="29"/>
    <w:qFormat/>
    <w:pPr>
      <w:ind w:left="720" w:right="720"/>
    </w:pPr>
    <w:rPr>
      <w:i/>
    </w:rPr>
  </w:style>
  <w:style w:type="character" w:styleId="935" w:customStyle="1">
    <w:name w:val="Цитата 2 Знак"/>
    <w:link w:val="934"/>
    <w:uiPriority w:val="29"/>
    <w:rPr>
      <w:i/>
    </w:rPr>
  </w:style>
  <w:style w:type="paragraph" w:styleId="936">
    <w:name w:val="Intense Quote"/>
    <w:basedOn w:val="908"/>
    <w:next w:val="908"/>
    <w:link w:val="9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7" w:customStyle="1">
    <w:name w:val="Выделенная цитата Знак"/>
    <w:link w:val="936"/>
    <w:uiPriority w:val="30"/>
    <w:rPr>
      <w:i/>
    </w:rPr>
  </w:style>
  <w:style w:type="character" w:styleId="938" w:customStyle="1">
    <w:name w:val="Верхний колонтитул Знак"/>
    <w:basedOn w:val="918"/>
    <w:link w:val="1071"/>
    <w:uiPriority w:val="99"/>
  </w:style>
  <w:style w:type="character" w:styleId="939" w:customStyle="1">
    <w:name w:val="Footer Char"/>
    <w:basedOn w:val="918"/>
    <w:uiPriority w:val="99"/>
  </w:style>
  <w:style w:type="character" w:styleId="940" w:customStyle="1">
    <w:name w:val="Caption Char"/>
    <w:uiPriority w:val="99"/>
  </w:style>
  <w:style w:type="table" w:styleId="941" w:customStyle="1">
    <w:name w:val="Table Grid Light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2">
    <w:name w:val="Plain Table 1"/>
    <w:basedOn w:val="9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2"/>
    <w:basedOn w:val="9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4">
    <w:name w:val="Plain Table 3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5">
    <w:name w:val="Plain Table 4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Plain Table 5"/>
    <w:basedOn w:val="9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7">
    <w:name w:val="Grid Table 1 Light"/>
    <w:basedOn w:val="9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Grid Table 2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"/>
    <w:basedOn w:val="9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1"/>
    <w:basedOn w:val="9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5"/>
    <w:basedOn w:val="9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6"/>
    <w:basedOn w:val="9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4"/>
    <w:basedOn w:val="9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9" w:customStyle="1">
    <w:name w:val="Grid Table 4 - Accent 1"/>
    <w:basedOn w:val="9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0" w:customStyle="1">
    <w:name w:val="Grid Table 4 - Accent 2"/>
    <w:basedOn w:val="9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Grid Table 4 - Accent 3"/>
    <w:basedOn w:val="9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2" w:customStyle="1">
    <w:name w:val="Grid Table 4 - Accent 4"/>
    <w:basedOn w:val="9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Grid Table 4 - Accent 5"/>
    <w:basedOn w:val="9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4" w:customStyle="1">
    <w:name w:val="Grid Table 4 - Accent 6"/>
    <w:basedOn w:val="9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5">
    <w:name w:val="Grid Table 5 Dark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- Accent 1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2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 - Accent 3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4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5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6"/>
    <w:basedOn w:val="9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2">
    <w:name w:val="Grid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3" w:customStyle="1">
    <w:name w:val="Grid Table 6 Colorful - Accent 1"/>
    <w:basedOn w:val="9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4" w:customStyle="1">
    <w:name w:val="Grid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5" w:customStyle="1">
    <w:name w:val="Grid Table 6 Colorful - Accent 3"/>
    <w:basedOn w:val="9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6" w:customStyle="1">
    <w:name w:val="Grid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7" w:customStyle="1">
    <w:name w:val="Grid Table 6 Colorful - Accent 5"/>
    <w:basedOn w:val="9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6 Colorful - Accent 6"/>
    <w:basedOn w:val="9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9">
    <w:name w:val="Grid Table 7 Colorful"/>
    <w:basedOn w:val="9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1"/>
    <w:basedOn w:val="9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2"/>
    <w:basedOn w:val="9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3"/>
    <w:basedOn w:val="9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4"/>
    <w:basedOn w:val="9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5"/>
    <w:basedOn w:val="9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6"/>
    <w:basedOn w:val="9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"/>
    <w:basedOn w:val="9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1"/>
    <w:basedOn w:val="9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2"/>
    <w:basedOn w:val="9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3"/>
    <w:basedOn w:val="9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4"/>
    <w:basedOn w:val="9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5"/>
    <w:basedOn w:val="9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6"/>
    <w:basedOn w:val="9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List Table 2"/>
    <w:basedOn w:val="9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0">
    <w:name w:val="List Table 3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"/>
    <w:basedOn w:val="9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1"/>
    <w:basedOn w:val="9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2"/>
    <w:basedOn w:val="9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3"/>
    <w:basedOn w:val="9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4"/>
    <w:basedOn w:val="9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5"/>
    <w:basedOn w:val="9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6"/>
    <w:basedOn w:val="9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5 Dark"/>
    <w:basedOn w:val="9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1"/>
    <w:basedOn w:val="9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>
    <w:name w:val="List Table 6 Colorful"/>
    <w:basedOn w:val="9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2" w:customStyle="1">
    <w:name w:val="List Table 6 Colorful - Accent 1"/>
    <w:basedOn w:val="9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3" w:customStyle="1">
    <w:name w:val="List Table 6 Colorful - Accent 2"/>
    <w:basedOn w:val="9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4" w:customStyle="1">
    <w:name w:val="List Table 6 Colorful - Accent 3"/>
    <w:basedOn w:val="9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5" w:customStyle="1">
    <w:name w:val="List Table 6 Colorful - Accent 4"/>
    <w:basedOn w:val="9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6" w:customStyle="1">
    <w:name w:val="List Table 6 Colorful - Accent 5"/>
    <w:basedOn w:val="9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7" w:customStyle="1">
    <w:name w:val="List Table 6 Colorful - Accent 6"/>
    <w:basedOn w:val="9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8">
    <w:name w:val="List Table 7 Colorful"/>
    <w:basedOn w:val="9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1"/>
    <w:basedOn w:val="9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2"/>
    <w:basedOn w:val="9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3"/>
    <w:basedOn w:val="9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4"/>
    <w:basedOn w:val="9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5"/>
    <w:basedOn w:val="9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6"/>
    <w:basedOn w:val="9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6" w:customStyle="1">
    <w:name w:val="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7" w:customStyle="1">
    <w:name w:val="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8" w:customStyle="1">
    <w:name w:val="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9" w:customStyle="1">
    <w:name w:val="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0" w:customStyle="1">
    <w:name w:val="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1" w:customStyle="1">
    <w:name w:val="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2" w:customStyle="1">
    <w:name w:val="Bordered &amp; Lined - Accent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3" w:customStyle="1">
    <w:name w:val="Bordered &amp; Lined - Accent 1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4" w:customStyle="1">
    <w:name w:val="Bordered &amp; Lined - Accent 2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5" w:customStyle="1">
    <w:name w:val="Bordered &amp; Lined - Accent 3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6" w:customStyle="1">
    <w:name w:val="Bordered &amp; Lined - Accent 4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7" w:customStyle="1">
    <w:name w:val="Bordered &amp; Lined - Accent 5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8" w:customStyle="1">
    <w:name w:val="Bordered &amp; Lined - Accent 6"/>
    <w:basedOn w:val="919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9" w:customStyle="1">
    <w:name w:val="Bordered"/>
    <w:basedOn w:val="9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0" w:customStyle="1">
    <w:name w:val="Bordered - Accent 1"/>
    <w:basedOn w:val="9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1" w:customStyle="1">
    <w:name w:val="Bordered - Accent 2"/>
    <w:basedOn w:val="9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2" w:customStyle="1">
    <w:name w:val="Bordered - Accent 3"/>
    <w:basedOn w:val="9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3" w:customStyle="1">
    <w:name w:val="Bordered - Accent 4"/>
    <w:basedOn w:val="9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4" w:customStyle="1">
    <w:name w:val="Bordered - Accent 5"/>
    <w:basedOn w:val="9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5" w:customStyle="1">
    <w:name w:val="Bordered - Accent 6"/>
    <w:basedOn w:val="9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66" w:customStyle="1">
    <w:name w:val="Footnote Text Char"/>
    <w:uiPriority w:val="99"/>
    <w:rPr>
      <w:sz w:val="18"/>
    </w:rPr>
  </w:style>
  <w:style w:type="character" w:styleId="1067" w:customStyle="1">
    <w:name w:val="Endnote Text Char"/>
    <w:uiPriority w:val="99"/>
    <w:rPr>
      <w:sz w:val="20"/>
    </w:rPr>
  </w:style>
  <w:style w:type="paragraph" w:styleId="1068">
    <w:name w:val="TOC Heading"/>
    <w:uiPriority w:val="39"/>
    <w:unhideWhenUsed/>
  </w:style>
  <w:style w:type="paragraph" w:styleId="1069">
    <w:name w:val="table of figures"/>
    <w:basedOn w:val="908"/>
    <w:next w:val="908"/>
    <w:uiPriority w:val="99"/>
    <w:unhideWhenUsed/>
  </w:style>
  <w:style w:type="character" w:styleId="1070" w:customStyle="1">
    <w:name w:val="Заголовок 2 Знак"/>
    <w:link w:val="910"/>
    <w:rPr>
      <w:b/>
      <w:sz w:val="32"/>
    </w:rPr>
  </w:style>
  <w:style w:type="paragraph" w:styleId="1071">
    <w:name w:val="Header"/>
    <w:basedOn w:val="908"/>
    <w:link w:val="938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1072">
    <w:name w:val="Footer"/>
    <w:basedOn w:val="908"/>
    <w:link w:val="1161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1073">
    <w:name w:val="Hyperlink"/>
    <w:uiPriority w:val="99"/>
    <w:rPr>
      <w:color w:val="0000ff"/>
      <w:u w:val="single"/>
    </w:rPr>
  </w:style>
  <w:style w:type="character" w:styleId="1074">
    <w:name w:val="footnote reference"/>
    <w:uiPriority w:val="99"/>
    <w:rPr>
      <w:vertAlign w:val="superscript"/>
    </w:rPr>
  </w:style>
  <w:style w:type="character" w:styleId="1075">
    <w:name w:val="page number"/>
    <w:rPr>
      <w:rFonts w:ascii="Times New Roman" w:hAnsi="Times New Roman"/>
      <w:sz w:val="20"/>
    </w:rPr>
  </w:style>
  <w:style w:type="paragraph" w:styleId="1076">
    <w:name w:val="toc 1"/>
    <w:basedOn w:val="908"/>
    <w:next w:val="908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1077">
    <w:name w:val="toc 2"/>
    <w:basedOn w:val="908"/>
    <w:next w:val="908"/>
    <w:uiPriority w:val="39"/>
    <w:pPr>
      <w:ind w:left="1134" w:right="845" w:hanging="1134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1078">
    <w:name w:val="toc 3"/>
    <w:basedOn w:val="908"/>
    <w:next w:val="908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1079">
    <w:name w:val="toc 4"/>
    <w:basedOn w:val="908"/>
    <w:next w:val="908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1080">
    <w:name w:val="FollowedHyperlink"/>
    <w:rPr>
      <w:color w:val="800080"/>
      <w:u w:val="single"/>
    </w:rPr>
  </w:style>
  <w:style w:type="paragraph" w:styleId="1081">
    <w:name w:val="Document Map"/>
    <w:basedOn w:val="908"/>
    <w:semiHidden/>
    <w:pPr>
      <w:shd w:val="clear" w:color="auto" w:fill="000080"/>
    </w:pPr>
    <w:rPr>
      <w:rFonts w:ascii="Tahoma" w:hAnsi="Tahoma"/>
      <w:sz w:val="20"/>
    </w:rPr>
  </w:style>
  <w:style w:type="paragraph" w:styleId="1082" w:customStyle="1">
    <w:name w:val="Таблица шапка"/>
    <w:basedOn w:val="908"/>
    <w:pPr>
      <w:ind w:left="57" w:right="57"/>
      <w:jc w:val="left"/>
      <w:keepNext/>
      <w:spacing w:before="40" w:after="40"/>
    </w:pPr>
    <w:rPr>
      <w:sz w:val="22"/>
    </w:rPr>
  </w:style>
  <w:style w:type="paragraph" w:styleId="1083">
    <w:name w:val="footnote text"/>
    <w:basedOn w:val="908"/>
    <w:link w:val="1084"/>
    <w:uiPriority w:val="99"/>
    <w:rPr>
      <w:sz w:val="20"/>
    </w:rPr>
  </w:style>
  <w:style w:type="character" w:styleId="1084" w:customStyle="1">
    <w:name w:val="Текст сноски Знак"/>
    <w:link w:val="1083"/>
    <w:uiPriority w:val="99"/>
  </w:style>
  <w:style w:type="paragraph" w:styleId="1085" w:customStyle="1">
    <w:name w:val="Таблица текст"/>
    <w:basedOn w:val="908"/>
    <w:pPr>
      <w:ind w:left="57" w:right="57"/>
      <w:jc w:val="left"/>
      <w:spacing w:before="40" w:after="40"/>
    </w:pPr>
    <w:rPr>
      <w:sz w:val="24"/>
    </w:rPr>
  </w:style>
  <w:style w:type="paragraph" w:styleId="1086">
    <w:name w:val="Caption"/>
    <w:basedOn w:val="908"/>
    <w:next w:val="908"/>
    <w:qFormat/>
    <w:pPr>
      <w:pageBreakBefore/>
      <w:spacing w:after="120"/>
    </w:pPr>
    <w:rPr>
      <w:bCs/>
      <w:i/>
      <w:sz w:val="24"/>
    </w:rPr>
  </w:style>
  <w:style w:type="paragraph" w:styleId="1087">
    <w:name w:val="toc 5"/>
    <w:basedOn w:val="908"/>
    <w:next w:val="908"/>
    <w:uiPriority w:val="39"/>
    <w:pPr>
      <w:ind w:left="1120"/>
      <w:jc w:val="left"/>
    </w:pPr>
    <w:rPr>
      <w:sz w:val="18"/>
      <w:szCs w:val="18"/>
    </w:rPr>
  </w:style>
  <w:style w:type="paragraph" w:styleId="1088">
    <w:name w:val="toc 6"/>
    <w:basedOn w:val="908"/>
    <w:next w:val="908"/>
    <w:uiPriority w:val="39"/>
    <w:pPr>
      <w:ind w:left="1400"/>
      <w:jc w:val="left"/>
    </w:pPr>
    <w:rPr>
      <w:sz w:val="18"/>
      <w:szCs w:val="18"/>
    </w:rPr>
  </w:style>
  <w:style w:type="paragraph" w:styleId="1089">
    <w:name w:val="toc 7"/>
    <w:basedOn w:val="908"/>
    <w:next w:val="908"/>
    <w:uiPriority w:val="39"/>
    <w:pPr>
      <w:ind w:left="1680"/>
      <w:jc w:val="left"/>
    </w:pPr>
    <w:rPr>
      <w:sz w:val="18"/>
      <w:szCs w:val="18"/>
    </w:rPr>
  </w:style>
  <w:style w:type="paragraph" w:styleId="1090">
    <w:name w:val="toc 8"/>
    <w:basedOn w:val="908"/>
    <w:next w:val="908"/>
    <w:uiPriority w:val="39"/>
    <w:pPr>
      <w:ind w:left="1960"/>
      <w:jc w:val="left"/>
    </w:pPr>
    <w:rPr>
      <w:sz w:val="18"/>
      <w:szCs w:val="18"/>
    </w:rPr>
  </w:style>
  <w:style w:type="paragraph" w:styleId="1091">
    <w:name w:val="toc 9"/>
    <w:basedOn w:val="908"/>
    <w:next w:val="908"/>
    <w:uiPriority w:val="39"/>
    <w:pPr>
      <w:ind w:left="2240"/>
      <w:jc w:val="left"/>
    </w:pPr>
    <w:rPr>
      <w:sz w:val="18"/>
      <w:szCs w:val="18"/>
    </w:rPr>
  </w:style>
  <w:style w:type="paragraph" w:styleId="1092" w:customStyle="1">
    <w:name w:val="Служебный"/>
    <w:basedOn w:val="1093"/>
  </w:style>
  <w:style w:type="paragraph" w:styleId="1093" w:customStyle="1">
    <w:name w:val="Главы"/>
    <w:basedOn w:val="1094"/>
    <w:next w:val="908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94" w:customStyle="1">
    <w:name w:val="Структура"/>
    <w:basedOn w:val="908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95" w:customStyle="1">
    <w:name w:val="маркированный"/>
    <w:basedOn w:val="908"/>
    <w:semiHidden/>
    <w:pPr>
      <w:ind w:left="1701" w:hanging="567"/>
      <w:tabs>
        <w:tab w:val="num" w:pos="1701" w:leader="none"/>
      </w:tabs>
    </w:pPr>
  </w:style>
  <w:style w:type="paragraph" w:styleId="1096" w:customStyle="1">
    <w:name w:val="Пункт"/>
    <w:basedOn w:val="908"/>
    <w:link w:val="1097"/>
    <w:pPr>
      <w:numPr>
        <w:ilvl w:val="2"/>
        <w:numId w:val="4"/>
      </w:numPr>
    </w:pPr>
  </w:style>
  <w:style w:type="character" w:styleId="1097" w:customStyle="1">
    <w:name w:val="Пункт Знак2"/>
    <w:link w:val="1096"/>
  </w:style>
  <w:style w:type="character" w:styleId="1098" w:customStyle="1">
    <w:name w:val="Пункт Знак"/>
    <w:rPr>
      <w:sz w:val="28"/>
      <w:lang w:val="ru-RU" w:eastAsia="ru-RU" w:bidi="ar-SA"/>
    </w:rPr>
  </w:style>
  <w:style w:type="paragraph" w:styleId="1099" w:customStyle="1">
    <w:name w:val="Подпункт"/>
    <w:basedOn w:val="1096"/>
    <w:link w:val="1100"/>
    <w:pPr>
      <w:numPr>
        <w:ilvl w:val="3"/>
      </w:numPr>
    </w:pPr>
  </w:style>
  <w:style w:type="character" w:styleId="1100" w:customStyle="1">
    <w:name w:val="Подпункт Знак1"/>
    <w:link w:val="1099"/>
  </w:style>
  <w:style w:type="character" w:styleId="1101" w:customStyle="1">
    <w:name w:val="Подпункт Знак"/>
    <w:rPr>
      <w:sz w:val="28"/>
      <w:lang w:val="ru-RU" w:eastAsia="ru-RU" w:bidi="ar-SA"/>
    </w:rPr>
  </w:style>
  <w:style w:type="character" w:styleId="1102" w:customStyle="1">
    <w:name w:val="комментарий"/>
    <w:rPr>
      <w:b/>
      <w:i/>
      <w:shd w:val="clear" w:color="auto" w:fill="ffff99"/>
    </w:rPr>
  </w:style>
  <w:style w:type="paragraph" w:styleId="1103" w:customStyle="1">
    <w:name w:val="Пункт2"/>
    <w:basedOn w:val="1096"/>
    <w:link w:val="1104"/>
    <w:pPr>
      <w:jc w:val="left"/>
      <w:keepNext/>
      <w:spacing w:before="240" w:after="120"/>
      <w:outlineLvl w:val="2"/>
    </w:pPr>
    <w:rPr>
      <w:b/>
    </w:rPr>
  </w:style>
  <w:style w:type="character" w:styleId="1104" w:customStyle="1">
    <w:name w:val="Пункт2 Знак"/>
    <w:link w:val="1103"/>
    <w:rPr>
      <w:b/>
    </w:rPr>
  </w:style>
  <w:style w:type="paragraph" w:styleId="1105" w:customStyle="1">
    <w:name w:val="Подподпункт"/>
    <w:basedOn w:val="1099"/>
    <w:link w:val="1106"/>
    <w:pPr>
      <w:numPr>
        <w:ilvl w:val="4"/>
      </w:numPr>
    </w:pPr>
  </w:style>
  <w:style w:type="character" w:styleId="1106" w:customStyle="1">
    <w:name w:val="Подподпункт Знак"/>
    <w:link w:val="1105"/>
  </w:style>
  <w:style w:type="paragraph" w:styleId="1107">
    <w:name w:val="List Number"/>
    <w:basedOn w:val="908"/>
    <w:pPr>
      <w:spacing w:before="60"/>
      <w:tabs>
        <w:tab w:val="num" w:pos="1134" w:leader="none"/>
      </w:tabs>
    </w:pPr>
    <w:rPr>
      <w:szCs w:val="24"/>
    </w:rPr>
  </w:style>
  <w:style w:type="paragraph" w:styleId="1108" w:customStyle="1">
    <w:name w:val="Текст таблицы"/>
    <w:basedOn w:val="908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109" w:customStyle="1">
    <w:name w:val="Пункт б/н"/>
    <w:basedOn w:val="908"/>
    <w:pPr>
      <w:tabs>
        <w:tab w:val="left" w:pos="1134" w:leader="none"/>
      </w:tabs>
    </w:pPr>
  </w:style>
  <w:style w:type="paragraph" w:styleId="1110">
    <w:name w:val="List Bullet"/>
    <w:basedOn w:val="908"/>
    <w:pPr>
      <w:ind w:left="360" w:hanging="360"/>
      <w:tabs>
        <w:tab w:val="num" w:pos="360" w:leader="none"/>
      </w:tabs>
    </w:pPr>
  </w:style>
  <w:style w:type="paragraph" w:styleId="1111">
    <w:name w:val="Balloon Text"/>
    <w:basedOn w:val="908"/>
    <w:link w:val="1112"/>
    <w:uiPriority w:val="99"/>
    <w:semiHidden/>
    <w:rPr>
      <w:rFonts w:ascii="Tahoma" w:hAnsi="Tahoma" w:cs="Tahoma"/>
      <w:sz w:val="16"/>
      <w:szCs w:val="16"/>
    </w:rPr>
  </w:style>
  <w:style w:type="character" w:styleId="1112" w:customStyle="1">
    <w:name w:val="Текст выноски Знак"/>
    <w:link w:val="1111"/>
    <w:uiPriority w:val="99"/>
    <w:semiHidden/>
    <w:rPr>
      <w:rFonts w:ascii="Tahoma" w:hAnsi="Tahoma" w:cs="Tahoma"/>
      <w:sz w:val="16"/>
      <w:szCs w:val="16"/>
    </w:rPr>
  </w:style>
  <w:style w:type="paragraph" w:styleId="1113">
    <w:name w:val="Body Text"/>
    <w:basedOn w:val="908"/>
    <w:link w:val="1114"/>
    <w:pPr>
      <w:jc w:val="left"/>
      <w:tabs>
        <w:tab w:val="right" w:pos="9360" w:leader="none"/>
      </w:tabs>
    </w:pPr>
    <w:rPr>
      <w:szCs w:val="24"/>
    </w:rPr>
  </w:style>
  <w:style w:type="character" w:styleId="1114" w:customStyle="1">
    <w:name w:val="Основной текст Знак"/>
    <w:link w:val="1113"/>
    <w:rPr>
      <w:sz w:val="28"/>
      <w:szCs w:val="24"/>
    </w:rPr>
  </w:style>
  <w:style w:type="paragraph" w:styleId="1115">
    <w:name w:val="annotation text"/>
    <w:basedOn w:val="908"/>
    <w:link w:val="1116"/>
    <w:uiPriority w:val="99"/>
    <w:rPr>
      <w:sz w:val="20"/>
    </w:rPr>
  </w:style>
  <w:style w:type="character" w:styleId="1116" w:customStyle="1">
    <w:name w:val="Текст примечания Знак"/>
    <w:link w:val="1115"/>
    <w:uiPriority w:val="99"/>
  </w:style>
  <w:style w:type="paragraph" w:styleId="1117">
    <w:name w:val="annotation subject"/>
    <w:basedOn w:val="1115"/>
    <w:next w:val="1115"/>
    <w:semiHidden/>
    <w:rPr>
      <w:b/>
      <w:bCs/>
    </w:rPr>
  </w:style>
  <w:style w:type="paragraph" w:styleId="1118">
    <w:name w:val="Body Text 3"/>
    <w:basedOn w:val="908"/>
    <w:pPr>
      <w:spacing w:after="120"/>
    </w:pPr>
    <w:rPr>
      <w:sz w:val="16"/>
      <w:szCs w:val="16"/>
    </w:rPr>
  </w:style>
  <w:style w:type="paragraph" w:styleId="1119" w:customStyle="1">
    <w:name w:val="Подподподподпункт"/>
    <w:basedOn w:val="908"/>
    <w:pPr>
      <w:ind w:left="2835" w:hanging="567"/>
      <w:tabs>
        <w:tab w:val="num" w:pos="2835" w:leader="none"/>
      </w:tabs>
    </w:pPr>
  </w:style>
  <w:style w:type="paragraph" w:styleId="1120" w:customStyle="1">
    <w:name w:val="Подподподпункт"/>
    <w:basedOn w:val="908"/>
    <w:pPr>
      <w:ind w:left="2268" w:hanging="567"/>
      <w:tabs>
        <w:tab w:val="num" w:pos="2268" w:leader="none"/>
      </w:tabs>
    </w:pPr>
  </w:style>
  <w:style w:type="paragraph" w:styleId="1121">
    <w:name w:val="Body Text Indent"/>
    <w:basedOn w:val="908"/>
    <w:pPr>
      <w:ind w:firstLine="485"/>
    </w:pPr>
    <w:rPr>
      <w:i/>
      <w:color w:val="000000"/>
      <w:szCs w:val="28"/>
    </w:rPr>
  </w:style>
  <w:style w:type="character" w:styleId="1122" w:customStyle="1">
    <w:name w:val="Пункт Знак1"/>
    <w:uiPriority w:val="99"/>
    <w:rPr>
      <w:sz w:val="28"/>
      <w:lang w:val="ru-RU" w:eastAsia="ru-RU" w:bidi="ar-SA"/>
    </w:rPr>
  </w:style>
  <w:style w:type="character" w:styleId="1123">
    <w:name w:val="annotation reference"/>
    <w:uiPriority w:val="99"/>
    <w:rPr>
      <w:sz w:val="16"/>
    </w:rPr>
  </w:style>
  <w:style w:type="paragraph" w:styleId="1124">
    <w:name w:val="Title"/>
    <w:basedOn w:val="908"/>
    <w:link w:val="1125"/>
    <w:qFormat/>
    <w:pPr>
      <w:jc w:val="center"/>
    </w:pPr>
    <w:rPr>
      <w:sz w:val="24"/>
      <w:szCs w:val="24"/>
    </w:rPr>
  </w:style>
  <w:style w:type="character" w:styleId="1125" w:customStyle="1">
    <w:name w:val="Заголовок Знак"/>
    <w:link w:val="1124"/>
    <w:rPr>
      <w:sz w:val="24"/>
      <w:szCs w:val="24"/>
    </w:rPr>
  </w:style>
  <w:style w:type="paragraph" w:styleId="1126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127">
    <w:name w:val="List Paragraph"/>
    <w:basedOn w:val="908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128" w:customStyle="1">
    <w:name w:val="Основной текст3"/>
    <w:basedOn w:val="908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129" w:customStyle="1">
    <w:name w:val="Table_header"/>
    <w:basedOn w:val="908"/>
    <w:rPr>
      <w:b/>
      <w:sz w:val="20"/>
      <w:szCs w:val="24"/>
    </w:rPr>
  </w:style>
  <w:style w:type="paragraph" w:styleId="1130" w:customStyle="1">
    <w:name w:val="Table_text"/>
    <w:basedOn w:val="908"/>
    <w:rPr>
      <w:sz w:val="20"/>
      <w:szCs w:val="24"/>
    </w:rPr>
  </w:style>
  <w:style w:type="paragraph" w:styleId="1131" w:customStyle="1">
    <w:name w:val="Times 12"/>
    <w:basedOn w:val="908"/>
    <w:rPr>
      <w:bCs/>
      <w:sz w:val="24"/>
      <w:szCs w:val="22"/>
    </w:rPr>
  </w:style>
  <w:style w:type="paragraph" w:styleId="1132" w:customStyle="1">
    <w:name w:val="ConsPlusNonformat"/>
    <w:uiPriority w:val="99"/>
    <w:rPr>
      <w:rFonts w:ascii="Courier New" w:hAnsi="Courier New" w:cs="Courier New"/>
    </w:rPr>
  </w:style>
  <w:style w:type="character" w:styleId="1133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134">
    <w:name w:val="Table Grid"/>
    <w:basedOn w:val="9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5" w:customStyle="1">
    <w:name w:val="Пункт_3"/>
    <w:basedOn w:val="908"/>
    <w:pPr>
      <w:ind w:left="1134" w:hanging="1133"/>
      <w:tabs>
        <w:tab w:val="num" w:pos="1134" w:leader="none"/>
      </w:tabs>
    </w:pPr>
  </w:style>
  <w:style w:type="paragraph" w:styleId="1136">
    <w:name w:val="endnote text"/>
    <w:basedOn w:val="908"/>
    <w:link w:val="1137"/>
    <w:rPr>
      <w:sz w:val="20"/>
    </w:rPr>
  </w:style>
  <w:style w:type="character" w:styleId="1137" w:customStyle="1">
    <w:name w:val="Текст концевой сноски Знак"/>
    <w:link w:val="1136"/>
  </w:style>
  <w:style w:type="character" w:styleId="1138">
    <w:name w:val="endnote reference"/>
    <w:uiPriority w:val="99"/>
    <w:rPr>
      <w:vertAlign w:val="superscript"/>
    </w:rPr>
  </w:style>
  <w:style w:type="paragraph" w:styleId="1139" w:customStyle="1">
    <w:name w:val="Пункт1"/>
    <w:basedOn w:val="908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140">
    <w:name w:val="Revision"/>
    <w:hidden/>
    <w:uiPriority w:val="99"/>
    <w:semiHidden/>
    <w:rPr>
      <w:sz w:val="28"/>
    </w:rPr>
  </w:style>
  <w:style w:type="table" w:styleId="1141" w:customStyle="1">
    <w:name w:val="Сетка таблицы211"/>
    <w:basedOn w:val="919"/>
    <w:next w:val="1134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42">
    <w:name w:val="Placeholder Text"/>
    <w:basedOn w:val="918"/>
    <w:uiPriority w:val="99"/>
    <w:semiHidden/>
    <w:rPr>
      <w:color w:val="808080"/>
    </w:rPr>
  </w:style>
  <w:style w:type="character" w:styleId="1143" w:customStyle="1">
    <w:name w:val="blk1"/>
    <w:basedOn w:val="918"/>
    <w:rPr>
      <w:vanish w:val="0"/>
    </w:rPr>
  </w:style>
  <w:style w:type="character" w:styleId="1144" w:customStyle="1">
    <w:name w:val="Неразрешенное упоминание1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45" w:customStyle="1">
    <w:name w:val="Неразрешенное упоминание2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46" w:customStyle="1">
    <w:name w:val="st_zag1"/>
    <w:basedOn w:val="908"/>
    <w:next w:val="908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147" w:customStyle="1">
    <w:name w:val="st_text12"/>
    <w:basedOn w:val="908"/>
    <w:pPr>
      <w:ind w:left="576" w:hanging="576"/>
      <w:tabs>
        <w:tab w:val="num" w:pos="576" w:leader="none"/>
      </w:tabs>
    </w:pPr>
    <w:rPr>
      <w:szCs w:val="28"/>
    </w:rPr>
  </w:style>
  <w:style w:type="paragraph" w:styleId="1148" w:customStyle="1">
    <w:name w:val="st_text123"/>
    <w:basedOn w:val="908"/>
    <w:pPr>
      <w:ind w:left="720" w:hanging="720"/>
      <w:tabs>
        <w:tab w:val="num" w:pos="720" w:leader="none"/>
      </w:tabs>
    </w:pPr>
    <w:rPr>
      <w:szCs w:val="28"/>
    </w:rPr>
  </w:style>
  <w:style w:type="paragraph" w:styleId="1149" w:customStyle="1">
    <w:name w:val="st_text1234"/>
    <w:basedOn w:val="908"/>
    <w:pPr>
      <w:ind w:left="864" w:hanging="864"/>
      <w:tabs>
        <w:tab w:val="num" w:pos="864" w:leader="none"/>
      </w:tabs>
    </w:pPr>
    <w:rPr>
      <w:szCs w:val="28"/>
    </w:rPr>
  </w:style>
  <w:style w:type="character" w:styleId="1150" w:customStyle="1">
    <w:name w:val="Неразрешенное упоминание3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1" w:customStyle="1">
    <w:name w:val="Заголовок1"/>
    <w:basedOn w:val="908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152" w:customStyle="1">
    <w:name w:val="русгидро п.п.п.п."/>
    <w:basedOn w:val="908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153" w:customStyle="1">
    <w:name w:val="Примечание"/>
    <w:basedOn w:val="908"/>
    <w:link w:val="1154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154" w:customStyle="1">
    <w:name w:val="Примечание Знак"/>
    <w:link w:val="1153"/>
    <w:rPr>
      <w:spacing w:val="20"/>
      <w:sz w:val="24"/>
    </w:rPr>
  </w:style>
  <w:style w:type="paragraph" w:styleId="1155" w:customStyle="1">
    <w:name w:val="Пункт_1"/>
    <w:basedOn w:val="908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156" w:customStyle="1">
    <w:name w:val="Неразрешенное упоминание4"/>
    <w:basedOn w:val="918"/>
    <w:uiPriority w:val="99"/>
    <w:semiHidden/>
    <w:unhideWhenUsed/>
    <w:rPr>
      <w:color w:val="808080"/>
      <w:shd w:val="clear" w:color="auto" w:fill="e6e6e6"/>
    </w:rPr>
  </w:style>
  <w:style w:type="character" w:styleId="1157" w:customStyle="1">
    <w:name w:val="Неразрешенное упоминание5"/>
    <w:basedOn w:val="918"/>
    <w:uiPriority w:val="99"/>
    <w:semiHidden/>
    <w:unhideWhenUsed/>
    <w:rPr>
      <w:color w:val="808080"/>
      <w:shd w:val="clear" w:color="auto" w:fill="e6e6e6"/>
    </w:rPr>
  </w:style>
  <w:style w:type="paragraph" w:styleId="1158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159">
    <w:name w:val="HTML Preformatted"/>
    <w:basedOn w:val="908"/>
    <w:link w:val="1160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160" w:customStyle="1">
    <w:name w:val="Стандартный HTML Знак"/>
    <w:basedOn w:val="918"/>
    <w:link w:val="1159"/>
    <w:uiPriority w:val="99"/>
    <w:semiHidden/>
    <w:rPr>
      <w:rFonts w:ascii="Courier New" w:hAnsi="Courier New" w:cs="Courier New"/>
      <w:sz w:val="20"/>
      <w:szCs w:val="20"/>
    </w:rPr>
  </w:style>
  <w:style w:type="character" w:styleId="1161" w:customStyle="1">
    <w:name w:val="Нижний колонтитул Знак"/>
    <w:basedOn w:val="918"/>
    <w:link w:val="1072"/>
    <w:rPr>
      <w:sz w:val="20"/>
    </w:rPr>
  </w:style>
  <w:style w:type="paragraph" w:styleId="1162">
    <w:name w:val="Body Text 2"/>
    <w:basedOn w:val="908"/>
    <w:link w:val="1163"/>
    <w:semiHidden/>
    <w:unhideWhenUsed/>
    <w:pPr>
      <w:spacing w:after="120" w:line="480" w:lineRule="auto"/>
    </w:pPr>
  </w:style>
  <w:style w:type="character" w:styleId="1163" w:customStyle="1">
    <w:name w:val="Основной текст 2 Знак"/>
    <w:basedOn w:val="918"/>
    <w:link w:val="1162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customXml" Target="../customXml/item1.xml" /><Relationship Id="rId15" Type="http://schemas.openxmlformats.org/officeDocument/2006/relationships/hyperlink" Target="https://www.diadoc.ru/" TargetMode="External"/><Relationship Id="rId16" Type="http://schemas.openxmlformats.org/officeDocument/2006/relationships/image" Target="media/image1.jpg"/><Relationship Id="rId17" Type="http://schemas.openxmlformats.org/officeDocument/2006/relationships/image" Target="media/image2.jpg"/><Relationship Id="rId18" Type="http://schemas.openxmlformats.org/officeDocument/2006/relationships/image" Target="media/image3.jpg"/><Relationship Id="rId19" Type="http://schemas.openxmlformats.org/officeDocument/2006/relationships/image" Target="media/image4.jpg"/><Relationship Id="rId20" Type="http://schemas.openxmlformats.org/officeDocument/2006/relationships/image" Target="media/image5.jpg"/><Relationship Id="rId21" Type="http://schemas.openxmlformats.org/officeDocument/2006/relationships/image" Target="media/image6.jpg"/><Relationship Id="rId22" Type="http://schemas.openxmlformats.org/officeDocument/2006/relationships/image" Target="media/image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3B04-475E-44B6-B411-3E3D4CC3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РусГидро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ivaschenko_es</cp:lastModifiedBy>
  <cp:revision>55</cp:revision>
  <dcterms:created xsi:type="dcterms:W3CDTF">2023-09-01T07:05:00Z</dcterms:created>
  <dcterms:modified xsi:type="dcterms:W3CDTF">2025-05-14T04:03:22Z</dcterms:modified>
</cp:coreProperties>
</file>