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4AB848B0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 xml:space="preserve">____» _________ </w:t>
      </w:r>
      <w:r w:rsidR="00214904" w:rsidRPr="00D34B86">
        <w:rPr>
          <w:rFonts w:ascii="Arial" w:hAnsi="Arial" w:cs="Arial"/>
          <w:b/>
          <w:bCs/>
          <w:sz w:val="22"/>
          <w:szCs w:val="22"/>
        </w:rPr>
        <w:t>202</w:t>
      </w:r>
      <w:r w:rsidR="00214904">
        <w:rPr>
          <w:rFonts w:ascii="Arial" w:hAnsi="Arial" w:cs="Arial"/>
          <w:b/>
          <w:bCs/>
          <w:sz w:val="22"/>
          <w:szCs w:val="22"/>
        </w:rPr>
        <w:t>5</w:t>
      </w:r>
      <w:r w:rsidR="00214904"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b/>
          <w:bCs/>
          <w:sz w:val="22"/>
          <w:szCs w:val="22"/>
        </w:rPr>
        <w:t>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713AD15A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Pr="00D34B86">
        <w:rPr>
          <w:rFonts w:ascii="Arial" w:hAnsi="Arial" w:cs="Arial"/>
          <w:color w:val="000000"/>
          <w:sz w:val="22"/>
          <w:szCs w:val="22"/>
        </w:rPr>
        <w:t xml:space="preserve">(далее – </w:t>
      </w:r>
      <w:r w:rsidR="0099562B">
        <w:rPr>
          <w:rFonts w:ascii="Arial" w:hAnsi="Arial" w:cs="Arial"/>
          <w:color w:val="000000"/>
          <w:sz w:val="22"/>
          <w:szCs w:val="22"/>
        </w:rPr>
        <w:t>Д</w:t>
      </w:r>
      <w:r w:rsidRPr="00D34B86">
        <w:rPr>
          <w:rFonts w:ascii="Arial" w:hAnsi="Arial" w:cs="Arial"/>
          <w:color w:val="000000"/>
          <w:sz w:val="22"/>
          <w:szCs w:val="22"/>
        </w:rPr>
        <w:t>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5822AFF4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r w:rsidR="00214904" w:rsidRPr="00D34B86">
        <w:rPr>
          <w:rFonts w:ascii="Arial" w:hAnsi="Arial" w:cs="Arial"/>
          <w:sz w:val="22"/>
          <w:szCs w:val="22"/>
        </w:rPr>
        <w:t>обществом «</w:t>
      </w:r>
      <w:r w:rsidRPr="00D34B86">
        <w:rPr>
          <w:rFonts w:ascii="Arial" w:hAnsi="Arial" w:cs="Arial"/>
          <w:sz w:val="22"/>
          <w:szCs w:val="22"/>
        </w:rPr>
        <w:t xml:space="preserve">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</w:t>
      </w:r>
      <w:r w:rsidR="00214904" w:rsidRPr="00E85262">
        <w:rPr>
          <w:rFonts w:ascii="Arial" w:hAnsi="Arial" w:cs="Arial"/>
          <w:sz w:val="22"/>
          <w:szCs w:val="22"/>
        </w:rPr>
        <w:t>23 от</w:t>
      </w:r>
      <w:r w:rsidR="00E85262" w:rsidRPr="00E85262">
        <w:rPr>
          <w:rFonts w:ascii="Arial" w:hAnsi="Arial" w:cs="Arial"/>
          <w:sz w:val="22"/>
          <w:szCs w:val="22"/>
        </w:rPr>
        <w:t xml:space="preserve">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77777777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375C8BDB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Предметом настоящего Договора являются следующий объект недвижимости, ранее и далее по тексту именуемый «Объект недвижимости</w:t>
      </w:r>
      <w:r w:rsidR="00654766">
        <w:rPr>
          <w:rFonts w:ascii="Arial" w:hAnsi="Arial" w:cs="Arial"/>
          <w:sz w:val="22"/>
          <w:szCs w:val="22"/>
        </w:rPr>
        <w:t>»</w:t>
      </w:r>
      <w:r w:rsidR="00161AB9">
        <w:rPr>
          <w:rFonts w:ascii="Arial" w:hAnsi="Arial" w:cs="Arial"/>
          <w:sz w:val="22"/>
          <w:szCs w:val="22"/>
        </w:rPr>
        <w:t xml:space="preserve">, </w:t>
      </w:r>
      <w:r w:rsidR="00654766">
        <w:rPr>
          <w:rFonts w:ascii="Arial" w:hAnsi="Arial" w:cs="Arial"/>
          <w:sz w:val="22"/>
          <w:szCs w:val="22"/>
        </w:rPr>
        <w:t>«</w:t>
      </w:r>
      <w:r w:rsidR="00161AB9">
        <w:rPr>
          <w:rFonts w:ascii="Arial" w:hAnsi="Arial" w:cs="Arial"/>
          <w:sz w:val="22"/>
          <w:szCs w:val="22"/>
        </w:rPr>
        <w:t>Объект</w:t>
      </w:r>
      <w:r w:rsidRPr="00D34B86">
        <w:rPr>
          <w:rFonts w:ascii="Arial" w:hAnsi="Arial" w:cs="Arial"/>
          <w:sz w:val="22"/>
          <w:szCs w:val="22"/>
        </w:rPr>
        <w:t xml:space="preserve">»: </w:t>
      </w:r>
    </w:p>
    <w:p w14:paraId="7FDF6642" w14:textId="77229E2D" w:rsidR="004F1A73" w:rsidRPr="00D34B86" w:rsidRDefault="00291919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9E6EA2">
        <w:rPr>
          <w:rFonts w:ascii="Arial" w:hAnsi="Arial" w:cs="Arial"/>
          <w:sz w:val="22"/>
          <w:szCs w:val="22"/>
        </w:rPr>
        <w:t>ийся</w:t>
      </w:r>
      <w:r w:rsidR="00575317" w:rsidRPr="00D34B86">
        <w:rPr>
          <w:rFonts w:ascii="Arial" w:hAnsi="Arial" w:cs="Arial"/>
          <w:sz w:val="22"/>
          <w:szCs w:val="22"/>
        </w:rPr>
        <w:t xml:space="preserve">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>принадлежащ</w:t>
      </w:r>
      <w:r w:rsidR="009E6EA2">
        <w:rPr>
          <w:rFonts w:ascii="Arial" w:eastAsia="Courier New" w:hAnsi="Arial" w:cs="Arial"/>
          <w:sz w:val="22"/>
          <w:szCs w:val="22"/>
        </w:rPr>
        <w:t>ий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A757FAD" w:rsidR="007E67CD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061B0A07" w:rsidR="008D33CA" w:rsidRDefault="008D33CA" w:rsidP="009E6EA2">
      <w:pPr>
        <w:widowControl w:val="0"/>
        <w:numPr>
          <w:ilvl w:val="0"/>
          <w:numId w:val="28"/>
        </w:numPr>
        <w:tabs>
          <w:tab w:val="num" w:pos="284"/>
          <w:tab w:val="num" w:pos="89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r>
        <w:rPr>
          <w:rFonts w:ascii="Arial" w:hAnsi="Arial" w:cs="Arial"/>
          <w:sz w:val="22"/>
          <w:szCs w:val="22"/>
        </w:rPr>
        <w:t xml:space="preserve">Объектом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его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7B1FFD0A" w14:textId="1FC0D270" w:rsidR="009311AB" w:rsidRPr="009E6EA2" w:rsidRDefault="009E6EA2" w:rsidP="00E410F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E6EA2">
        <w:rPr>
          <w:rFonts w:ascii="Arial" w:hAnsi="Arial" w:cs="Arial"/>
          <w:sz w:val="22"/>
          <w:szCs w:val="22"/>
        </w:rPr>
        <w:t>Покупатель на момент подписания Договора ознакомлен с состоянием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недвижимости, претензий к Покупателю по состоянию Объект</w:t>
      </w:r>
      <w:r w:rsidR="0099562B">
        <w:rPr>
          <w:rFonts w:ascii="Arial" w:hAnsi="Arial" w:cs="Arial"/>
          <w:sz w:val="22"/>
          <w:szCs w:val="22"/>
        </w:rPr>
        <w:t>а</w:t>
      </w:r>
      <w:r w:rsidRPr="009E6EA2">
        <w:rPr>
          <w:rFonts w:ascii="Arial" w:hAnsi="Arial" w:cs="Arial"/>
          <w:sz w:val="22"/>
          <w:szCs w:val="22"/>
        </w:rPr>
        <w:t xml:space="preserve"> не имеет.</w:t>
      </w: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lastRenderedPageBreak/>
        <w:t>Цена Объе</w:t>
      </w:r>
      <w:bookmarkStart w:id="2" w:name="_GoBack"/>
      <w:bookmarkEnd w:id="2"/>
      <w:r w:rsidRPr="00D34B86">
        <w:rPr>
          <w:rFonts w:ascii="Arial" w:hAnsi="Arial" w:cs="Arial"/>
          <w:b/>
          <w:bCs/>
          <w:sz w:val="22"/>
          <w:szCs w:val="22"/>
        </w:rPr>
        <w:t xml:space="preserve">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628AC961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1F7DE1">
        <w:rPr>
          <w:rFonts w:ascii="Arial" w:hAnsi="Arial" w:cs="Arial"/>
          <w:sz w:val="22"/>
          <w:szCs w:val="22"/>
        </w:rPr>
        <w:t>.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72252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4355DA8B" w:rsidR="003333C0" w:rsidRPr="00D34B86" w:rsidRDefault="003333C0" w:rsidP="0072252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  <w:r w:rsidR="0099562B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9405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9405E3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27ECD6B9" w:rsidR="009311AB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1F7DE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в течение 3 (трех) рабочих дней с даты заключения настоящего Договора на расчетный счет </w:t>
      </w:r>
      <w:bookmarkStart w:id="3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3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77777777" w:rsidR="00E85262" w:rsidRPr="00E85262" w:rsidRDefault="00E85262" w:rsidP="00E85262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30B1511B" w:rsidR="009311AB" w:rsidRPr="00E85262" w:rsidRDefault="00247243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bookmarkStart w:id="4" w:name="page13"/>
      <w:bookmarkEnd w:id="4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1C1D8646" w:rsidR="009311AB" w:rsidRPr="00E85262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6C700D2A" w:rsidR="009311AB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19C896CB" w:rsidR="00E85262" w:rsidRPr="00106ABA" w:rsidRDefault="00E85262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Объекта, определенной по итогам аукциона.</w:t>
      </w:r>
    </w:p>
    <w:p w14:paraId="7AF89271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E85262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37A35DC8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</w:t>
      </w:r>
      <w:r w:rsidR="00654766">
        <w:rPr>
          <w:rFonts w:ascii="Arial" w:hAnsi="Arial" w:cs="Arial"/>
          <w:sz w:val="22"/>
          <w:szCs w:val="22"/>
        </w:rPr>
        <w:t>пункта</w:t>
      </w:r>
      <w:r w:rsidR="00654766" w:rsidRPr="00D7494D">
        <w:rPr>
          <w:rFonts w:ascii="Arial" w:hAnsi="Arial" w:cs="Arial"/>
          <w:sz w:val="22"/>
          <w:szCs w:val="22"/>
        </w:rPr>
        <w:t xml:space="preserve"> </w:t>
      </w:r>
      <w:r w:rsidRPr="00D7494D">
        <w:rPr>
          <w:rFonts w:ascii="Arial" w:hAnsi="Arial" w:cs="Arial"/>
          <w:sz w:val="22"/>
          <w:szCs w:val="22"/>
        </w:rPr>
        <w:t>4</w:t>
      </w:r>
      <w:r w:rsidR="00654766">
        <w:rPr>
          <w:rFonts w:ascii="Arial" w:hAnsi="Arial" w:cs="Arial"/>
          <w:sz w:val="22"/>
          <w:szCs w:val="22"/>
        </w:rPr>
        <w:t>.2</w:t>
      </w:r>
      <w:r w:rsidRPr="00D7494D">
        <w:rPr>
          <w:rFonts w:ascii="Arial" w:hAnsi="Arial" w:cs="Arial"/>
          <w:sz w:val="22"/>
          <w:szCs w:val="22"/>
        </w:rPr>
        <w:t xml:space="preserve"> Договора по оплате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 Покупателю считается исполненным после передачи имущества Покупателю и подписания сторонами акта приема-передачи.</w:t>
      </w:r>
    </w:p>
    <w:p w14:paraId="7F2542D1" w14:textId="77777777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164AE09F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t xml:space="preserve">Произвести оплату стоимости </w:t>
      </w:r>
      <w:r w:rsidR="00887FA3">
        <w:rPr>
          <w:rFonts w:ascii="Arial" w:hAnsi="Arial" w:cs="Arial"/>
          <w:sz w:val="22"/>
          <w:lang w:val="ru-RU"/>
        </w:rPr>
        <w:t>Объекта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21A5E77F" w14:textId="3F1BEA42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lastRenderedPageBreak/>
        <w:t>Нести все расходы, указанные в п. 4.</w:t>
      </w:r>
      <w:r w:rsidR="00107512">
        <w:rPr>
          <w:rFonts w:ascii="Arial" w:hAnsi="Arial" w:cs="Arial"/>
          <w:sz w:val="22"/>
          <w:lang w:val="ru-RU"/>
        </w:rPr>
        <w:t>4</w:t>
      </w:r>
      <w:r>
        <w:rPr>
          <w:rFonts w:ascii="Arial" w:hAnsi="Arial" w:cs="Arial"/>
          <w:sz w:val="22"/>
          <w:lang w:val="ru-RU"/>
        </w:rPr>
        <w:t>, 4.</w:t>
      </w:r>
      <w:r w:rsidR="00107512">
        <w:rPr>
          <w:rFonts w:ascii="Arial" w:hAnsi="Arial" w:cs="Arial"/>
          <w:sz w:val="22"/>
          <w:lang w:val="ru-RU"/>
        </w:rPr>
        <w:t>7</w:t>
      </w:r>
      <w:r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56E76596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</w:t>
      </w:r>
      <w:r w:rsidR="00161AB9" w:rsidRPr="00D34B86">
        <w:rPr>
          <w:rFonts w:ascii="Arial" w:hAnsi="Arial" w:cs="Arial"/>
          <w:sz w:val="22"/>
          <w:lang w:val="ru-RU"/>
        </w:rPr>
        <w:t>Объект</w:t>
      </w:r>
      <w:r w:rsidR="00161AB9">
        <w:rPr>
          <w:rFonts w:ascii="Arial" w:hAnsi="Arial" w:cs="Arial"/>
          <w:sz w:val="22"/>
          <w:lang w:val="ru-RU"/>
        </w:rPr>
        <w:t xml:space="preserve"> недвижимости</w:t>
      </w:r>
      <w:r w:rsidR="00161AB9" w:rsidRPr="00D34B86">
        <w:rPr>
          <w:rFonts w:ascii="Arial" w:hAnsi="Arial" w:cs="Arial"/>
          <w:sz w:val="22"/>
          <w:lang w:val="ru-RU"/>
        </w:rPr>
        <w:t xml:space="preserve"> </w:t>
      </w:r>
      <w:r w:rsidRPr="00D34B86">
        <w:rPr>
          <w:rFonts w:ascii="Arial" w:hAnsi="Arial" w:cs="Arial"/>
          <w:sz w:val="22"/>
          <w:lang w:val="ru-RU"/>
        </w:rPr>
        <w:t>по акту приёма-передачи, являющ</w:t>
      </w:r>
      <w:r w:rsidR="00161AB9">
        <w:rPr>
          <w:rFonts w:ascii="Arial" w:hAnsi="Arial" w:cs="Arial"/>
          <w:sz w:val="22"/>
          <w:lang w:val="ru-RU"/>
        </w:rPr>
        <w:t>ему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0FA857EE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107512">
        <w:rPr>
          <w:rFonts w:ascii="Arial" w:hAnsi="Arial" w:cs="Arial"/>
          <w:sz w:val="22"/>
          <w:lang w:val="ru-RU"/>
        </w:rPr>
        <w:t>3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5DA0A81C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>
        <w:rPr>
          <w:rFonts w:ascii="Arial" w:hAnsi="Arial" w:cs="Arial"/>
          <w:sz w:val="22"/>
          <w:lang w:val="ru-RU"/>
        </w:rPr>
        <w:t>, указанны</w:t>
      </w:r>
      <w:r w:rsidR="0099562B">
        <w:rPr>
          <w:rFonts w:ascii="Arial" w:hAnsi="Arial" w:cs="Arial"/>
          <w:sz w:val="22"/>
          <w:lang w:val="ru-RU"/>
        </w:rPr>
        <w:t>й</w:t>
      </w:r>
      <w:r>
        <w:rPr>
          <w:rFonts w:ascii="Arial" w:hAnsi="Arial" w:cs="Arial"/>
          <w:sz w:val="22"/>
          <w:lang w:val="ru-RU"/>
        </w:rPr>
        <w:t xml:space="preserve">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4BB43F26" w:rsidR="00E85262" w:rsidRPr="00D34B86" w:rsidRDefault="00E85262" w:rsidP="00E85262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887FA3">
        <w:rPr>
          <w:rFonts w:ascii="Arial" w:hAnsi="Arial" w:cs="Arial"/>
          <w:b/>
          <w:bCs/>
          <w:sz w:val="22"/>
          <w:szCs w:val="22"/>
        </w:rPr>
        <w:t>Объекта</w:t>
      </w:r>
    </w:p>
    <w:p w14:paraId="6075A1E8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38F37A6E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4A753A43" w:rsidR="00E85262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1F10A048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4B8C028A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Росреестра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3DD5502B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>и случайного повреждения Объект</w:t>
      </w:r>
      <w:r w:rsidR="00887FA3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Объекта недвижимости. </w:t>
      </w:r>
    </w:p>
    <w:p w14:paraId="215FAB33" w14:textId="77777777" w:rsidR="00E85262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77777777" w:rsidR="00E85262" w:rsidRPr="00D34B86" w:rsidRDefault="00E85262" w:rsidP="00E85262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04E5E3A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E85262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06671433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5" w:name="page15"/>
      <w:bookmarkEnd w:id="5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F1467B6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E85262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2 (двух) подлинных экземплярах, каждый из которых имеет одинаковую юридическую силу, один экземпляр для Продавца, один для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3034B541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214904">
        <w:rPr>
          <w:rFonts w:ascii="Arial" w:hAnsi="Arial" w:cs="Arial"/>
          <w:sz w:val="22"/>
          <w:szCs w:val="22"/>
        </w:rPr>
        <w:t>1</w:t>
      </w:r>
      <w:r w:rsidRPr="00D34B86">
        <w:rPr>
          <w:rFonts w:ascii="Arial" w:hAnsi="Arial" w:cs="Arial"/>
          <w:sz w:val="22"/>
          <w:szCs w:val="22"/>
        </w:rPr>
        <w:t xml:space="preserve">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 w:rsidP="00887FA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07512"/>
    <w:rsid w:val="001345F6"/>
    <w:rsid w:val="00161AB9"/>
    <w:rsid w:val="00181ED1"/>
    <w:rsid w:val="00194890"/>
    <w:rsid w:val="001A06E5"/>
    <w:rsid w:val="001A3DA9"/>
    <w:rsid w:val="001B0F78"/>
    <w:rsid w:val="001C30E0"/>
    <w:rsid w:val="001F7DE1"/>
    <w:rsid w:val="0021385B"/>
    <w:rsid w:val="00214904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03C0"/>
    <w:rsid w:val="00325DC6"/>
    <w:rsid w:val="003333C0"/>
    <w:rsid w:val="00351EBA"/>
    <w:rsid w:val="00376146"/>
    <w:rsid w:val="00410927"/>
    <w:rsid w:val="00433530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A6DA8"/>
    <w:rsid w:val="005B3DD7"/>
    <w:rsid w:val="00633EF0"/>
    <w:rsid w:val="00654766"/>
    <w:rsid w:val="00697A64"/>
    <w:rsid w:val="006A7AE1"/>
    <w:rsid w:val="006C5D9A"/>
    <w:rsid w:val="006C6DF7"/>
    <w:rsid w:val="006D1DEC"/>
    <w:rsid w:val="00703B9D"/>
    <w:rsid w:val="00722521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405E3"/>
    <w:rsid w:val="009504C6"/>
    <w:rsid w:val="0098338D"/>
    <w:rsid w:val="009946DC"/>
    <w:rsid w:val="0099562B"/>
    <w:rsid w:val="009D2FAB"/>
    <w:rsid w:val="009E5D25"/>
    <w:rsid w:val="009E6EA2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85262"/>
    <w:rsid w:val="00EA0091"/>
    <w:rsid w:val="00EE5D0C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Выборнова Наталья Николаевна</cp:lastModifiedBy>
  <cp:revision>13</cp:revision>
  <dcterms:created xsi:type="dcterms:W3CDTF">2024-02-20T03:28:00Z</dcterms:created>
  <dcterms:modified xsi:type="dcterms:W3CDTF">2025-03-28T08:43:00Z</dcterms:modified>
</cp:coreProperties>
</file>