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1"/>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7069" w14:textId="77777777" w:rsidR="0061354A" w:rsidRDefault="0061354A" w:rsidP="002A4297">
      <w:pPr>
        <w:spacing w:after="0" w:line="240" w:lineRule="auto"/>
      </w:pPr>
      <w:r>
        <w:separator/>
      </w:r>
    </w:p>
  </w:endnote>
  <w:endnote w:type="continuationSeparator" w:id="0">
    <w:p w14:paraId="1AB38C5B" w14:textId="77777777" w:rsidR="0061354A" w:rsidRDefault="0061354A"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4DBF" w14:textId="3D4B9309"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632D5C">
          <w:rPr>
            <w:rFonts w:ascii="Times New Roman" w:hAnsi="Times New Roman" w:cs="Times New Roman"/>
            <w:noProof/>
          </w:rPr>
          <w:t>20</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64AEC" w14:textId="77777777" w:rsidR="0061354A" w:rsidRDefault="0061354A" w:rsidP="002A4297">
      <w:pPr>
        <w:spacing w:after="0" w:line="240" w:lineRule="auto"/>
      </w:pPr>
      <w:r>
        <w:separator/>
      </w:r>
    </w:p>
  </w:footnote>
  <w:footnote w:type="continuationSeparator" w:id="0">
    <w:p w14:paraId="75848451" w14:textId="77777777" w:rsidR="0061354A" w:rsidRDefault="0061354A"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w:t>
      </w:r>
      <w:r w:rsidRPr="00A6567F">
        <w:t xml:space="preserve">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w:t>
      </w:r>
      <w:r>
        <w:t>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w:t>
      </w:r>
      <w:r w:rsidRPr="001B6F8F">
        <w:t xml:space="preserve">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proofErr w:type="spellStart"/>
      <w:r w:rsidRPr="001B6F8F">
        <w:t>естоположени</w:t>
      </w:r>
      <w:r>
        <w:rPr>
          <w:lang w:val="ru-RU"/>
        </w:rPr>
        <w:t>е</w:t>
      </w:r>
      <w:proofErr w:type="spellEnd"/>
      <w:r>
        <w:rPr>
          <w:lang w:val="ru-RU"/>
        </w:rPr>
        <w:t>)</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w:t>
      </w:r>
      <w:r w:rsidRPr="001B6F8F">
        <w:t>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w:t>
      </w:r>
      <w:r w:rsidRPr="001B6F8F">
        <w:t>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w:t>
      </w:r>
      <w:r w:rsidRPr="001B6F8F">
        <w:t>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w:t>
      </w:r>
      <w:r w:rsidRPr="00A6567F">
        <w:t xml:space="preserve">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w:t>
      </w:r>
      <w:r w:rsidRPr="001B6F8F">
        <w:t xml:space="preserve">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w:t>
      </w:r>
      <w:r w:rsidRPr="00A878C6">
        <w:t>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 xml:space="preserve">Пункт Договора указывается в случае заключения Договора по результатам проведения торгов в форме </w:t>
      </w:r>
      <w:proofErr w:type="gramStart"/>
      <w:r>
        <w:rPr>
          <w:lang w:val="ru-RU"/>
        </w:rPr>
        <w:t>аукциона, в случае, если</w:t>
      </w:r>
      <w:proofErr w:type="gramEnd"/>
      <w:r>
        <w:rPr>
          <w:lang w:val="ru-RU"/>
        </w:rPr>
        <w:t xml:space="preserve">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w:t>
      </w:r>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w:t>
      </w:r>
      <w:r w:rsidRPr="001B6F8F">
        <w:t>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w:t>
      </w:r>
      <w:r w:rsidRPr="00A6567F">
        <w:t>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w:t>
      </w:r>
      <w:r w:rsidRPr="00A6567F">
        <w:t>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w:t>
      </w:r>
      <w:r w:rsidRPr="001B6F8F">
        <w:t>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w:t>
      </w:r>
      <w:r w:rsidRPr="001B6F8F">
        <w:t>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w:t>
      </w:r>
      <w:r w:rsidRPr="001B6F8F">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w:t>
      </w:r>
      <w:r w:rsidRPr="001B6F8F">
        <w:t>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w:t>
      </w:r>
      <w:r w:rsidRPr="001B6F8F">
        <w:t>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w:t>
      </w:r>
      <w:r w:rsidRPr="00887520">
        <w:t>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w:t>
      </w:r>
      <w:r w:rsidRPr="001B6F8F">
        <w:t>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w:t>
      </w:r>
      <w:r w:rsidRPr="001B6F8F">
        <w:t>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91373326">
    <w:abstractNumId w:val="5"/>
  </w:num>
  <w:num w:numId="2" w16cid:durableId="1194542058">
    <w:abstractNumId w:val="11"/>
  </w:num>
  <w:num w:numId="3" w16cid:durableId="1464886885">
    <w:abstractNumId w:val="6"/>
  </w:num>
  <w:num w:numId="4" w16cid:durableId="180166089">
    <w:abstractNumId w:val="0"/>
  </w:num>
  <w:num w:numId="5" w16cid:durableId="1082599921">
    <w:abstractNumId w:val="4"/>
  </w:num>
  <w:num w:numId="6" w16cid:durableId="1707484166">
    <w:abstractNumId w:val="8"/>
  </w:num>
  <w:num w:numId="7" w16cid:durableId="1233469119">
    <w:abstractNumId w:val="1"/>
  </w:num>
  <w:num w:numId="8" w16cid:durableId="2097095137">
    <w:abstractNumId w:val="10"/>
  </w:num>
  <w:num w:numId="9" w16cid:durableId="1594508942">
    <w:abstractNumId w:val="7"/>
  </w:num>
  <w:num w:numId="10" w16cid:durableId="1912963009">
    <w:abstractNumId w:val="2"/>
  </w:num>
  <w:num w:numId="11" w16cid:durableId="1359772835">
    <w:abstractNumId w:val="9"/>
  </w:num>
  <w:num w:numId="12" w16cid:durableId="1961301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201F9"/>
    <w:rsid w:val="00030CA5"/>
    <w:rsid w:val="00043235"/>
    <w:rsid w:val="0005411C"/>
    <w:rsid w:val="000716FF"/>
    <w:rsid w:val="000733B4"/>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9736D"/>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232D"/>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1354A"/>
    <w:rsid w:val="00623348"/>
    <w:rsid w:val="00632D5C"/>
    <w:rsid w:val="00652479"/>
    <w:rsid w:val="006B23A9"/>
    <w:rsid w:val="00722C12"/>
    <w:rsid w:val="00735DCF"/>
    <w:rsid w:val="00744946"/>
    <w:rsid w:val="007547C0"/>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D78EC"/>
    <w:rsid w:val="00AE3163"/>
    <w:rsid w:val="00B04275"/>
    <w:rsid w:val="00B060C8"/>
    <w:rsid w:val="00B20AFA"/>
    <w:rsid w:val="00B37A36"/>
    <w:rsid w:val="00B40D21"/>
    <w:rsid w:val="00B64925"/>
    <w:rsid w:val="00B71C68"/>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B646-0981-4257-958D-B76793A8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6069</Words>
  <Characters>34596</Characters>
  <Application>Microsoft Office Word</Application>
  <DocSecurity>8</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Вострецова Оксана Александровна</cp:lastModifiedBy>
  <cp:revision>2</cp:revision>
  <dcterms:created xsi:type="dcterms:W3CDTF">2025-04-23T07:23:00Z</dcterms:created>
  <dcterms:modified xsi:type="dcterms:W3CDTF">2025-04-23T07:23:00Z</dcterms:modified>
</cp:coreProperties>
</file>