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63D1" w:rsidRDefault="00000000">
      <w:pPr>
        <w:pStyle w:val="a4"/>
        <w:jc w:val="right"/>
      </w:pPr>
      <w:r>
        <w:rPr>
          <w:b w:val="0"/>
          <w:sz w:val="22"/>
          <w:szCs w:val="22"/>
        </w:rPr>
        <w:t xml:space="preserve">Приложение № 1 </w:t>
      </w:r>
    </w:p>
    <w:p w:rsidR="009063D1" w:rsidRDefault="00000000">
      <w:pPr>
        <w:ind w:right="-57"/>
        <w:jc w:val="right"/>
      </w:pPr>
      <w:r>
        <w:rPr>
          <w:sz w:val="22"/>
          <w:szCs w:val="22"/>
        </w:rPr>
        <w:t>к Оферте</w:t>
      </w:r>
    </w:p>
    <w:p w:rsidR="009063D1" w:rsidRDefault="00000000">
      <w:pPr>
        <w:pStyle w:val="a4"/>
      </w:pPr>
      <w:r>
        <w:rPr>
          <w:sz w:val="24"/>
          <w:szCs w:val="24"/>
        </w:rPr>
        <w:t>Договор о задатке №____</w:t>
      </w:r>
    </w:p>
    <w:p w:rsidR="009063D1" w:rsidRDefault="00000000">
      <w:pPr>
        <w:pStyle w:val="a4"/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9063D1" w:rsidRDefault="009063D1">
      <w:pPr>
        <w:pStyle w:val="a4"/>
        <w:rPr>
          <w:b w:val="0"/>
          <w:bCs w:val="0"/>
          <w:spacing w:val="30"/>
          <w:sz w:val="24"/>
          <w:szCs w:val="24"/>
        </w:rPr>
      </w:pPr>
    </w:p>
    <w:p w:rsidR="009063D1" w:rsidRDefault="00000000">
      <w:pPr>
        <w:shd w:val="clear" w:color="auto" w:fill="FFFFFF"/>
        <w:tabs>
          <w:tab w:val="left" w:pos="1145"/>
        </w:tabs>
        <w:jc w:val="both"/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01.01.2025 № Д-078 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:rsidR="009063D1" w:rsidRDefault="00000000">
      <w:pPr>
        <w:ind w:firstLine="567"/>
        <w:jc w:val="both"/>
      </w:pPr>
      <w:r>
        <w:t>1. В соответствии с условиями настоящего Договора Претендент для участия в торгах в форме подачи предложений по цене с применением метода повышения начальной цены («английский аукцион») по продаже:</w:t>
      </w:r>
    </w:p>
    <w:p w:rsidR="009063D1" w:rsidRDefault="00000000">
      <w:pPr>
        <w:pStyle w:val="a9"/>
        <w:ind w:left="0" w:right="60" w:firstLine="708"/>
        <w:rPr>
          <w:rFonts w:eastAsia="SimSun;宋体"/>
          <w:shd w:val="clear" w:color="auto" w:fill="FFFFFF"/>
          <w:lang w:eastAsia="hi-IN"/>
        </w:rPr>
      </w:pPr>
      <w:r>
        <w:rPr>
          <w:rFonts w:eastAsia="SimSun;宋体"/>
          <w:b/>
          <w:bCs/>
          <w:shd w:val="clear" w:color="auto" w:fill="FFFFFF"/>
          <w:lang w:eastAsia="hi-IN"/>
        </w:rPr>
        <w:t xml:space="preserve">1.1.Земельный участок, </w:t>
      </w:r>
      <w:r>
        <w:rPr>
          <w:rFonts w:eastAsia="SimSun;宋体"/>
          <w:shd w:val="clear" w:color="auto" w:fill="FFFFFF"/>
          <w:lang w:eastAsia="hi-IN"/>
        </w:rPr>
        <w:t>расположенный по адресу: г. Санкт-Петербург, территория предприятия "Ручьи", участок 24, (Беляевка), кадастровый номер 78:11:0006124:26, площадью  354064 +/- 208  кв.м., категория земель: Земли населенных пунктов, виды разрешенного использования: для размещения промышленных объектов. Обременения (ограничения): в соответствии с выпиской из ЕГРН от 27.03.2025;</w:t>
      </w:r>
    </w:p>
    <w:p w:rsidR="009063D1" w:rsidRDefault="00000000">
      <w:pPr>
        <w:pStyle w:val="a9"/>
        <w:tabs>
          <w:tab w:val="left" w:pos="851"/>
        </w:tabs>
        <w:ind w:left="0" w:right="60" w:firstLine="0"/>
        <w:rPr>
          <w:rFonts w:eastAsia="SimSun;宋体"/>
          <w:shd w:val="clear" w:color="auto" w:fill="FFFFFF"/>
          <w:lang w:eastAsia="hi-IN"/>
        </w:rPr>
      </w:pPr>
      <w:r>
        <w:rPr>
          <w:rFonts w:eastAsia="SimSun;宋体"/>
          <w:b/>
          <w:bCs/>
          <w:shd w:val="clear" w:color="auto" w:fill="FFFFFF"/>
          <w:lang w:eastAsia="hi-IN"/>
        </w:rPr>
        <w:tab/>
        <w:t xml:space="preserve">1.2.Земельный участок, </w:t>
      </w:r>
      <w:r>
        <w:rPr>
          <w:rFonts w:eastAsia="SimSun;宋体"/>
          <w:shd w:val="clear" w:color="auto" w:fill="FFFFFF"/>
          <w:lang w:eastAsia="hi-IN"/>
        </w:rPr>
        <w:t>расположенный по адресу: г. Санкт-Петербург, территория предприятия "Ручьи", участок 81, (Беляевка), кадастровый номер 78:11:0006124:27,  площадью  4761 +/- 24 кв.м., категория земель: Земли населенных пунктов, виды разрешенного использования: для размещения объектов транспорта (за исключением автозаправочных и газонаполнительных станций, предприятий автосервиса, гаражей и автостоянок). Обременения (ограничения): в соответствии с выпиской из ЕГРН от 27.03.2025.</w:t>
      </w:r>
    </w:p>
    <w:p w:rsidR="009063D1" w:rsidRDefault="00000000">
      <w:pPr>
        <w:pStyle w:val="a9"/>
        <w:ind w:left="0" w:right="60" w:firstLine="360"/>
        <w:rPr>
          <w:b/>
          <w:bCs/>
          <w:szCs w:val="24"/>
        </w:rPr>
      </w:pPr>
      <w:r>
        <w:rPr>
          <w:rFonts w:eastAsia="SimSun;宋体"/>
          <w:shd w:val="clear" w:color="auto" w:fill="FFFFFF"/>
          <w:lang w:eastAsia="hi-IN"/>
        </w:rPr>
        <w:tab/>
      </w:r>
      <w:r>
        <w:rPr>
          <w:b/>
          <w:bCs/>
          <w:szCs w:val="24"/>
          <w:shd w:val="clear" w:color="auto" w:fill="FFFFFF"/>
        </w:rPr>
        <w:t xml:space="preserve">Объекты </w:t>
      </w:r>
      <w:r w:rsidR="00F21B67">
        <w:rPr>
          <w:b/>
          <w:bCs/>
          <w:szCs w:val="24"/>
          <w:shd w:val="clear" w:color="auto" w:fill="FFFFFF"/>
        </w:rPr>
        <w:t>находятся в</w:t>
      </w:r>
      <w:r>
        <w:rPr>
          <w:b/>
          <w:bCs/>
          <w:szCs w:val="24"/>
          <w:shd w:val="clear" w:color="auto" w:fill="FFFFFF"/>
        </w:rPr>
        <w:t xml:space="preserve"> залоге у АО " Банк ДОМ.РФ", ИНН: 7725038124</w:t>
      </w:r>
    </w:p>
    <w:p w:rsidR="00F21B67" w:rsidRDefault="00000000" w:rsidP="00F21B67">
      <w:pPr>
        <w:jc w:val="both"/>
        <w:rPr>
          <w:bCs/>
          <w:sz w:val="18"/>
          <w:szCs w:val="18"/>
          <w:shd w:val="clear" w:color="auto" w:fill="FFFFFF"/>
        </w:rPr>
      </w:pPr>
      <w:r>
        <w:t xml:space="preserve">(далее – </w:t>
      </w:r>
      <w:r>
        <w:rPr>
          <w:b/>
        </w:rPr>
        <w:t>Имущество</w:t>
      </w:r>
      <w:r>
        <w:t xml:space="preserve">), перечисляет денежные средства </w:t>
      </w:r>
      <w:r>
        <w:rPr>
          <w:b/>
        </w:rPr>
        <w:t xml:space="preserve">в размере </w:t>
      </w:r>
      <w:r w:rsidR="00F21B67" w:rsidRPr="00F21B67">
        <w:rPr>
          <w:b/>
          <w:bCs/>
        </w:rPr>
        <w:t xml:space="preserve">74 500 000 (семьдесят четыре миллиона пятьсот тысяч) рублей </w:t>
      </w:r>
      <w:r>
        <w:t>(далее – «</w:t>
      </w:r>
      <w:r>
        <w:rPr>
          <w:b/>
        </w:rPr>
        <w:t>Задаток</w:t>
      </w:r>
      <w:r>
        <w:t>») на расчетный счет Оператора электронной площадки:</w:t>
      </w:r>
      <w:r>
        <w:rPr>
          <w:bCs/>
          <w:sz w:val="18"/>
          <w:szCs w:val="18"/>
          <w:shd w:val="clear" w:color="auto" w:fill="FFFFFF"/>
        </w:rPr>
        <w:t xml:space="preserve"> </w:t>
      </w:r>
    </w:p>
    <w:p w:rsidR="009063D1" w:rsidRDefault="00000000" w:rsidP="00F21B67">
      <w:pPr>
        <w:jc w:val="both"/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  <w:r w:rsidR="00F21B67">
        <w:rPr>
          <w:b/>
          <w:bCs/>
        </w:rPr>
        <w:t xml:space="preserve"> </w:t>
      </w:r>
      <w:r>
        <w:rPr>
          <w:b/>
          <w:bCs/>
        </w:rPr>
        <w:t>р/с № 40702810355000036459 в СЕВЕРО-ЗАПАДНЫЙ БАНК ПАО СБЕРБАНК,</w:t>
      </w:r>
    </w:p>
    <w:p w:rsidR="009063D1" w:rsidRDefault="00000000">
      <w:pPr>
        <w:ind w:firstLine="567"/>
        <w:jc w:val="both"/>
      </w:pPr>
      <w:r>
        <w:rPr>
          <w:b/>
          <w:bCs/>
        </w:rPr>
        <w:t>БИК 044030653, к/с 30101810500000000653.</w:t>
      </w:r>
    </w:p>
    <w:p w:rsidR="009063D1" w:rsidRDefault="00000000">
      <w:pPr>
        <w:ind w:firstLine="567"/>
        <w:jc w:val="both"/>
      </w:pPr>
      <w:r>
        <w:t xml:space="preserve">2. Задаток должен быть внесен Претендентом не позднее даты, указанной в информационном сообщении о продаже </w:t>
      </w:r>
      <w:r>
        <w:rPr>
          <w:b/>
        </w:rPr>
        <w:t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информационном сообщении о продаже </w:t>
      </w:r>
      <w:r>
        <w:rPr>
          <w:b/>
        </w:rPr>
        <w:t>Имущества</w:t>
      </w:r>
      <w:r>
        <w:t>. Задаток считается внесенным с даты поступления всей суммы Задатка на указанный счет.</w:t>
      </w:r>
    </w:p>
    <w:p w:rsidR="009063D1" w:rsidRDefault="00000000">
      <w:pPr>
        <w:ind w:firstLine="567"/>
        <w:jc w:val="both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информационном сообщении о продаже </w:t>
      </w:r>
      <w:r>
        <w:rPr>
          <w:b/>
        </w:rPr>
        <w:t>Имущества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063D1" w:rsidRDefault="00000000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9063D1" w:rsidRDefault="00000000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</w:rPr>
        <w:t>Имущества</w:t>
      </w:r>
      <w:r>
        <w:t xml:space="preserve">, определенной по итогам торгов, и исполнения иных обязательств по заключенному договору в случае признания Претендента </w:t>
      </w:r>
      <w:r>
        <w:lastRenderedPageBreak/>
        <w:t>победителем торгов, если   иное не предусмотрено в информационном сообщении о проведении торгов.</w:t>
      </w:r>
    </w:p>
    <w:p w:rsidR="009063D1" w:rsidRDefault="00000000">
      <w:pPr>
        <w:ind w:firstLine="567"/>
        <w:jc w:val="both"/>
      </w:pPr>
      <w: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:rsidR="009063D1" w:rsidRDefault="00000000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:rsidR="009063D1" w:rsidRDefault="00000000">
      <w:pPr>
        <w:ind w:firstLine="567"/>
        <w:jc w:val="both"/>
      </w:pPr>
      <w: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fa"/>
        </w:rPr>
        <w:footnoteReference w:id="1"/>
      </w:r>
      <w:r>
        <w:t xml:space="preserve">. </w:t>
      </w:r>
    </w:p>
    <w:p w:rsidR="009063D1" w:rsidRDefault="00000000">
      <w:pPr>
        <w:ind w:firstLine="567"/>
        <w:jc w:val="both"/>
      </w:pPr>
      <w: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9063D1" w:rsidRDefault="00000000">
      <w:pPr>
        <w:ind w:firstLine="567"/>
        <w:jc w:val="both"/>
      </w:pPr>
      <w:r>
        <w:t xml:space="preserve"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момента размещения протокола об итогах торгов, за исключением Претендента, признанного победителем </w:t>
      </w:r>
      <w:bookmarkStart w:id="0" w:name="_Hlk171615364"/>
      <w:r>
        <w:t>или единственным участником</w:t>
      </w:r>
      <w:bookmarkEnd w:id="0"/>
      <w:r>
        <w:t xml:space="preserve"> торгов в электронной форме.</w:t>
      </w:r>
    </w:p>
    <w:p w:rsidR="009063D1" w:rsidRDefault="00000000">
      <w:pPr>
        <w:ind w:firstLine="567"/>
        <w:jc w:val="both"/>
      </w:pPr>
      <w:r>
        <w:t>9. Внесенный Претендентом, признанным победителем или единственным участником торгов в электронной форме, Задаток, учитывается в счет оплаты цены продажи имущества по договору купли-продажи.</w:t>
      </w:r>
    </w:p>
    <w:p w:rsidR="009063D1" w:rsidRDefault="00000000">
      <w:pPr>
        <w:ind w:firstLine="567"/>
        <w:jc w:val="both"/>
      </w:pPr>
      <w:r>
        <w:t xml:space="preserve">10. В случае уклонении (отказа) победителя торгов/единственного участника </w:t>
      </w:r>
      <w:bookmarkStart w:id="1" w:name="_Hlk171671753"/>
      <w:r>
        <w:t>торгов</w:t>
      </w:r>
      <w:bookmarkEnd w:id="1"/>
      <w:r>
        <w:t xml:space="preserve"> от подписания договора купли-продажи или </w:t>
      </w:r>
      <w:proofErr w:type="gramStart"/>
      <w:r>
        <w:t>оплаты  цены</w:t>
      </w:r>
      <w:proofErr w:type="gramEnd"/>
      <w:r>
        <w:t xml:space="preserve"> Имущества, внесенный победителем торгов/единственным участником торгов задаток ему не возвращается.  </w:t>
      </w:r>
    </w:p>
    <w:p w:rsidR="009063D1" w:rsidRDefault="00000000">
      <w:pPr>
        <w:ind w:firstLine="567"/>
        <w:jc w:val="both"/>
      </w:pPr>
      <w:r>
        <w:t>11.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:rsidR="009063D1" w:rsidRDefault="00000000">
      <w:pPr>
        <w:ind w:firstLine="567"/>
        <w:jc w:val="both"/>
      </w:pPr>
      <w:r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:rsidR="009063D1" w:rsidRDefault="00000000">
      <w:pPr>
        <w:ind w:firstLine="284"/>
        <w:jc w:val="center"/>
      </w:pPr>
      <w:r>
        <w:rPr>
          <w:b/>
          <w:bCs/>
        </w:rPr>
        <w:t>Реквизиты сторон:</w:t>
      </w:r>
    </w:p>
    <w:p w:rsidR="009063D1" w:rsidRDefault="009063D1">
      <w:pPr>
        <w:ind w:firstLine="284"/>
        <w:jc w:val="center"/>
        <w:rPr>
          <w:b/>
          <w:bCs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9063D1">
        <w:trPr>
          <w:trHeight w:val="3059"/>
        </w:trPr>
        <w:tc>
          <w:tcPr>
            <w:tcW w:w="4786" w:type="dxa"/>
          </w:tcPr>
          <w:p w:rsidR="009063D1" w:rsidRDefault="00000000">
            <w:r>
              <w:rPr>
                <w:b/>
                <w:bCs/>
              </w:rPr>
              <w:t>Оператор:</w:t>
            </w:r>
          </w:p>
          <w:p w:rsidR="009063D1" w:rsidRDefault="00000000">
            <w:r>
              <w:rPr>
                <w:b/>
              </w:rPr>
              <w:t>Акционерное общество</w:t>
            </w:r>
          </w:p>
          <w:p w:rsidR="009063D1" w:rsidRDefault="00000000">
            <w:r>
              <w:rPr>
                <w:b/>
              </w:rPr>
              <w:t>«Российский аукционный дом»</w:t>
            </w:r>
          </w:p>
          <w:p w:rsidR="009063D1" w:rsidRDefault="009063D1">
            <w:pPr>
              <w:rPr>
                <w:b/>
              </w:rPr>
            </w:pPr>
          </w:p>
          <w:p w:rsidR="009063D1" w:rsidRDefault="00000000">
            <w:r>
              <w:t>Адрес для корреспонденции:</w:t>
            </w:r>
          </w:p>
          <w:p w:rsidR="009063D1" w:rsidRDefault="00000000">
            <w:r>
              <w:t>190000 Санкт-Петербург,</w:t>
            </w:r>
          </w:p>
          <w:p w:rsidR="009063D1" w:rsidRDefault="00000000">
            <w:r>
              <w:t>пер. Гривцова, д.5, лит. В</w:t>
            </w:r>
          </w:p>
          <w:p w:rsidR="009063D1" w:rsidRDefault="00000000">
            <w:r>
              <w:t>тел. 8 (800) 777-57-57</w:t>
            </w:r>
          </w:p>
          <w:p w:rsidR="009063D1" w:rsidRDefault="009063D1">
            <w:pPr>
              <w:jc w:val="center"/>
            </w:pPr>
          </w:p>
          <w:p w:rsidR="009063D1" w:rsidRDefault="00000000">
            <w:pPr>
              <w:tabs>
                <w:tab w:val="left" w:pos="1580"/>
              </w:tabs>
            </w:pPr>
            <w:r>
              <w:t>ОГРН: 1097847233351, ИНН: 7838430413, КПП: 783801001</w:t>
            </w:r>
          </w:p>
          <w:p w:rsidR="009063D1" w:rsidRDefault="00000000">
            <w:pPr>
              <w:tabs>
                <w:tab w:val="left" w:pos="1580"/>
              </w:tabs>
            </w:pPr>
            <w:r>
              <w:t>р/с № 40702810355000036459</w:t>
            </w:r>
          </w:p>
          <w:p w:rsidR="009063D1" w:rsidRDefault="00000000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:rsidR="009063D1" w:rsidRDefault="00000000">
            <w:pPr>
              <w:tabs>
                <w:tab w:val="left" w:pos="1580"/>
              </w:tabs>
            </w:pPr>
            <w:r>
              <w:t>БИК 044030653</w:t>
            </w:r>
          </w:p>
          <w:p w:rsidR="009063D1" w:rsidRDefault="00000000">
            <w:pPr>
              <w:tabs>
                <w:tab w:val="left" w:pos="1580"/>
              </w:tabs>
            </w:pPr>
            <w:r>
              <w:t>к/с 30101810500000000653</w:t>
            </w:r>
          </w:p>
        </w:tc>
        <w:tc>
          <w:tcPr>
            <w:tcW w:w="764" w:type="dxa"/>
          </w:tcPr>
          <w:p w:rsidR="009063D1" w:rsidRDefault="009063D1">
            <w:pPr>
              <w:ind w:firstLine="284"/>
              <w:jc w:val="both"/>
            </w:pPr>
          </w:p>
        </w:tc>
        <w:tc>
          <w:tcPr>
            <w:tcW w:w="4274" w:type="dxa"/>
          </w:tcPr>
          <w:p w:rsidR="009063D1" w:rsidRDefault="00000000">
            <w:pPr>
              <w:jc w:val="both"/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:rsidR="009063D1" w:rsidRDefault="00000000">
            <w:pPr>
              <w:jc w:val="both"/>
            </w:pPr>
            <w:r>
              <w:rPr>
                <w:b/>
                <w:bCs/>
              </w:rPr>
              <w:t>_________________________________</w:t>
            </w:r>
          </w:p>
          <w:p w:rsidR="009063D1" w:rsidRDefault="00000000">
            <w:pPr>
              <w:jc w:val="both"/>
            </w:pPr>
            <w:r>
              <w:t>_________________________________</w:t>
            </w:r>
          </w:p>
          <w:p w:rsidR="009063D1" w:rsidRDefault="00000000">
            <w:pPr>
              <w:jc w:val="both"/>
            </w:pPr>
            <w:r>
              <w:t>_________________________________</w:t>
            </w:r>
          </w:p>
          <w:p w:rsidR="009063D1" w:rsidRDefault="00000000">
            <w:pPr>
              <w:jc w:val="both"/>
            </w:pPr>
            <w:r>
              <w:t>_________________________________</w:t>
            </w:r>
          </w:p>
          <w:p w:rsidR="009063D1" w:rsidRDefault="00000000">
            <w:pPr>
              <w:jc w:val="both"/>
            </w:pPr>
            <w:r>
              <w:t>_________________________________</w:t>
            </w:r>
          </w:p>
          <w:p w:rsidR="009063D1" w:rsidRDefault="00000000">
            <w:pPr>
              <w:jc w:val="both"/>
            </w:pPr>
            <w:r>
              <w:t>_________________________________</w:t>
            </w:r>
          </w:p>
          <w:p w:rsidR="009063D1" w:rsidRDefault="00000000">
            <w:pPr>
              <w:jc w:val="both"/>
            </w:pPr>
            <w:r>
              <w:t>_________________________________</w:t>
            </w:r>
          </w:p>
          <w:p w:rsidR="009063D1" w:rsidRDefault="009063D1">
            <w:pPr>
              <w:jc w:val="both"/>
            </w:pPr>
          </w:p>
        </w:tc>
      </w:tr>
    </w:tbl>
    <w:p w:rsidR="009063D1" w:rsidRDefault="00000000">
      <w:pPr>
        <w:ind w:firstLine="284"/>
        <w:jc w:val="both"/>
      </w:pPr>
      <w:r>
        <w:rPr>
          <w:b/>
          <w:bCs/>
        </w:rPr>
        <w:t xml:space="preserve">        </w:t>
      </w:r>
    </w:p>
    <w:p w:rsidR="009063D1" w:rsidRDefault="00000000">
      <w:pPr>
        <w:jc w:val="both"/>
      </w:pPr>
      <w:r>
        <w:rPr>
          <w:b/>
          <w:bCs/>
        </w:rPr>
        <w:t>От Оператора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:rsidR="009063D1" w:rsidRDefault="00000000">
      <w:r>
        <w:lastRenderedPageBreak/>
        <w:t>_____________________/ Е.В. Канцерова/</w:t>
      </w:r>
      <w:r>
        <w:tab/>
        <w:t xml:space="preserve">            _______________________/_________</w:t>
      </w:r>
    </w:p>
    <w:p w:rsidR="009063D1" w:rsidRDefault="009063D1"/>
    <w:sectPr w:rsidR="009063D1">
      <w:pgSz w:w="11906" w:h="16838"/>
      <w:pgMar w:top="425" w:right="567" w:bottom="39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6797" w:rsidRDefault="005F6797">
      <w:r>
        <w:separator/>
      </w:r>
    </w:p>
  </w:endnote>
  <w:endnote w:type="continuationSeparator" w:id="0">
    <w:p w:rsidR="005F6797" w:rsidRDefault="005F6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;宋体"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6797" w:rsidRDefault="005F6797">
      <w:r>
        <w:separator/>
      </w:r>
    </w:p>
  </w:footnote>
  <w:footnote w:type="continuationSeparator" w:id="0">
    <w:p w:rsidR="005F6797" w:rsidRDefault="005F6797">
      <w:r>
        <w:continuationSeparator/>
      </w:r>
    </w:p>
  </w:footnote>
  <w:footnote w:id="1">
    <w:p w:rsidR="009063D1" w:rsidRDefault="00000000">
      <w:pPr>
        <w:pStyle w:val="af7"/>
      </w:pPr>
      <w:r>
        <w:rPr>
          <w:rStyle w:val="affa"/>
          <w:rFonts w:ascii="Liberation Serif" w:hAnsi="Liberation Serif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23F68"/>
    <w:multiLevelType w:val="multilevel"/>
    <w:tmpl w:val="76DA17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93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63D1"/>
    <w:rsid w:val="005F6797"/>
    <w:rsid w:val="009063D1"/>
    <w:rsid w:val="00E776DA"/>
    <w:rsid w:val="00F2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0CBA6"/>
  <w15:docId w15:val="{24A6F441-4B8C-48DA-AA0A-C169001A9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5"/>
    <w:link w:val="a6"/>
    <w:pPr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8">
    <w:name w:val="Подзаголовок Знак"/>
    <w:link w:val="a7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9">
    <w:name w:val="List Paragraph"/>
    <w:basedOn w:val="a"/>
    <w:uiPriority w:val="34"/>
    <w:qFormat/>
    <w:pPr>
      <w:spacing w:after="11" w:line="268" w:lineRule="auto"/>
      <w:ind w:left="720" w:right="483" w:firstLine="710"/>
      <w:contextualSpacing/>
      <w:jc w:val="both"/>
    </w:pPr>
    <w:rPr>
      <w:szCs w:val="22"/>
      <w:lang w:eastAsia="ru-RU"/>
    </w:rPr>
  </w:style>
  <w:style w:type="character" w:styleId="aa">
    <w:name w:val="Intense Emphasis"/>
    <w:uiPriority w:val="21"/>
    <w:qFormat/>
    <w:rPr>
      <w:i/>
      <w:iCs/>
      <w:color w:val="365F91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c">
    <w:name w:val="Выделенная цитата Знак"/>
    <w:link w:val="ab"/>
    <w:uiPriority w:val="30"/>
    <w:rPr>
      <w:i/>
      <w:iCs/>
      <w:color w:val="365F91"/>
    </w:rPr>
  </w:style>
  <w:style w:type="character" w:styleId="ad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e">
    <w:name w:val="No Spacing"/>
    <w:basedOn w:val="a"/>
    <w:uiPriority w:val="1"/>
    <w:qFormat/>
  </w:style>
  <w:style w:type="character" w:styleId="af">
    <w:name w:val="Subtle Emphasis"/>
    <w:uiPriority w:val="19"/>
    <w:qFormat/>
    <w:rPr>
      <w:i/>
      <w:iCs/>
      <w:color w:val="404040"/>
    </w:rPr>
  </w:style>
  <w:style w:type="character" w:styleId="af0">
    <w:name w:val="Emphasis"/>
    <w:uiPriority w:val="20"/>
    <w:qFormat/>
    <w:rPr>
      <w:i/>
      <w:iCs/>
    </w:rPr>
  </w:style>
  <w:style w:type="character" w:styleId="af1">
    <w:name w:val="Strong"/>
    <w:qFormat/>
    <w:rPr>
      <w:b/>
      <w:bCs/>
    </w:rPr>
  </w:style>
  <w:style w:type="character" w:styleId="af2">
    <w:name w:val="Subtle Reference"/>
    <w:uiPriority w:val="31"/>
    <w:qFormat/>
    <w:rPr>
      <w:smallCaps/>
      <w:color w:val="5A5A5A"/>
    </w:rPr>
  </w:style>
  <w:style w:type="character" w:styleId="af3">
    <w:name w:val="Book Title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12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2">
    <w:name w:val="Верхний колонтитул Знак1"/>
    <w:basedOn w:val="a0"/>
    <w:link w:val="af4"/>
    <w:uiPriority w:val="99"/>
  </w:style>
  <w:style w:type="paragraph" w:styleId="af5">
    <w:name w:val="foot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Нижний колонтитул Знак1"/>
    <w:basedOn w:val="a0"/>
    <w:link w:val="af5"/>
    <w:uiPriority w:val="99"/>
  </w:style>
  <w:style w:type="paragraph" w:styleId="af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7">
    <w:name w:val="footnote text"/>
    <w:basedOn w:val="a"/>
    <w:link w:val="14"/>
    <w:rPr>
      <w:sz w:val="20"/>
      <w:szCs w:val="20"/>
    </w:rPr>
  </w:style>
  <w:style w:type="character" w:customStyle="1" w:styleId="14">
    <w:name w:val="Текст сноски Знак1"/>
    <w:link w:val="af7"/>
    <w:uiPriority w:val="99"/>
    <w:semiHidden/>
    <w:rPr>
      <w:sz w:val="20"/>
      <w:szCs w:val="20"/>
    </w:rPr>
  </w:style>
  <w:style w:type="character" w:styleId="af8">
    <w:name w:val="footnote reference"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link w:val="af9"/>
    <w:uiPriority w:val="99"/>
    <w:semiHidden/>
    <w:rPr>
      <w:sz w:val="20"/>
      <w:szCs w:val="20"/>
    </w:rPr>
  </w:style>
  <w:style w:type="character" w:styleId="afb">
    <w:name w:val="endnote reference"/>
    <w:rPr>
      <w:vertAlign w:val="superscript"/>
    </w:rPr>
  </w:style>
  <w:style w:type="character" w:styleId="afc">
    <w:name w:val="Hyperlink"/>
    <w:rPr>
      <w:color w:val="0000FF"/>
      <w:u w:val="single"/>
    </w:rPr>
  </w:style>
  <w:style w:type="character" w:styleId="afd">
    <w:name w:val="FollowedHyperlink"/>
    <w:uiPriority w:val="99"/>
    <w:semiHidden/>
    <w:unhideWhenUsed/>
    <w:rPr>
      <w:color w:val="800080"/>
      <w:u w:val="single"/>
    </w:rPr>
  </w:style>
  <w:style w:type="paragraph" w:styleId="15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e">
    <w:name w:val="TOC Heading"/>
    <w:uiPriority w:val="39"/>
    <w:unhideWhenUsed/>
    <w:rPr>
      <w:lang w:eastAsia="zh-CN"/>
    </w:rPr>
  </w:style>
  <w:style w:type="paragraph" w:styleId="aff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b/>
      <w:bCs/>
      <w:i w:val="0"/>
      <w:iCs w:val="0"/>
    </w:rPr>
  </w:style>
  <w:style w:type="character" w:customStyle="1" w:styleId="WW8Num6z0">
    <w:name w:val="WW8Num6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6">
    <w:name w:val="Основной шрифт абзаца1"/>
  </w:style>
  <w:style w:type="character" w:customStyle="1" w:styleId="25">
    <w:name w:val="Основной текст 2 Знак"/>
    <w:rPr>
      <w:sz w:val="24"/>
      <w:szCs w:val="24"/>
      <w:lang w:val="ru-RU" w:bidi="ar-SA"/>
    </w:rPr>
  </w:style>
  <w:style w:type="character" w:customStyle="1" w:styleId="33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0">
    <w:name w:val="Название Знак"/>
    <w:rPr>
      <w:b/>
      <w:bCs/>
      <w:sz w:val="28"/>
      <w:szCs w:val="28"/>
      <w:lang w:val="ru-RU" w:bidi="ar-SA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f1">
    <w:name w:val="Текст примечания Знак"/>
    <w:rPr>
      <w:color w:val="000000"/>
    </w:rPr>
  </w:style>
  <w:style w:type="character" w:customStyle="1" w:styleId="aff2">
    <w:name w:val="Тема примечания Знак"/>
    <w:rPr>
      <w:b/>
      <w:bCs/>
      <w:color w:val="000000"/>
    </w:rPr>
  </w:style>
  <w:style w:type="character" w:customStyle="1" w:styleId="aff3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4">
    <w:name w:val="Основной текст 3 Знак"/>
    <w:rPr>
      <w:color w:val="000000"/>
      <w:sz w:val="16"/>
      <w:szCs w:val="16"/>
    </w:rPr>
  </w:style>
  <w:style w:type="character" w:customStyle="1" w:styleId="aff4">
    <w:name w:val="Основной текст с отступом Знак"/>
    <w:rPr>
      <w:sz w:val="24"/>
      <w:szCs w:val="24"/>
    </w:rPr>
  </w:style>
  <w:style w:type="character" w:customStyle="1" w:styleId="aff5">
    <w:name w:val="Основной текст_"/>
    <w:rPr>
      <w:shd w:val="clear" w:color="auto" w:fill="FFFFFF"/>
    </w:rPr>
  </w:style>
  <w:style w:type="character" w:customStyle="1" w:styleId="aff6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6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7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8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9">
    <w:name w:val="Текст сноски Знак"/>
    <w:rPr>
      <w:color w:val="000000"/>
    </w:rPr>
  </w:style>
  <w:style w:type="character" w:customStyle="1" w:styleId="affa">
    <w:name w:val="Символ сноски"/>
    <w:rPr>
      <w:vertAlign w:val="superscript"/>
    </w:rPr>
  </w:style>
  <w:style w:type="character" w:styleId="affb">
    <w:name w:val="line number"/>
  </w:style>
  <w:style w:type="character" w:customStyle="1" w:styleId="affc">
    <w:name w:val="Символ концевой сноски"/>
  </w:style>
  <w:style w:type="paragraph" w:styleId="a5">
    <w:name w:val="Body Text"/>
    <w:basedOn w:val="a"/>
    <w:pPr>
      <w:spacing w:after="140" w:line="276" w:lineRule="auto"/>
    </w:pPr>
  </w:style>
  <w:style w:type="paragraph" w:styleId="affd">
    <w:name w:val="List"/>
    <w:basedOn w:val="a5"/>
    <w:rPr>
      <w:rFonts w:cs="Lucida Sans"/>
    </w:rPr>
  </w:style>
  <w:style w:type="paragraph" w:customStyle="1" w:styleId="18">
    <w:name w:val="Указатель1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9">
    <w:name w:val="Текст примечания1"/>
    <w:basedOn w:val="a"/>
    <w:rPr>
      <w:sz w:val="20"/>
      <w:szCs w:val="20"/>
    </w:rPr>
  </w:style>
  <w:style w:type="paragraph" w:styleId="affe">
    <w:name w:val="annotation subject"/>
    <w:basedOn w:val="19"/>
    <w:next w:val="19"/>
    <w:rPr>
      <w:b/>
      <w:bCs/>
    </w:rPr>
  </w:style>
  <w:style w:type="paragraph" w:styleId="afff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0">
    <w:name w:val="Body Text Indent"/>
    <w:basedOn w:val="a"/>
    <w:pPr>
      <w:ind w:right="-57" w:firstLine="720"/>
      <w:jc w:val="both"/>
    </w:pPr>
  </w:style>
  <w:style w:type="paragraph" w:customStyle="1" w:styleId="28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1">
    <w:name w:val="Revision"/>
    <w:rPr>
      <w:rFonts w:ascii="NTTimes/Cyrillic" w:hAnsi="NTTimes/Cyrillic" w:cs="NTTimes/Cyrillic"/>
      <w:sz w:val="24"/>
      <w:szCs w:val="24"/>
      <w:lang w:val="en-US" w:eastAsia="zh-CN"/>
    </w:rPr>
  </w:style>
  <w:style w:type="paragraph" w:customStyle="1" w:styleId="aff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3">
    <w:name w:val="Содержимое таблицы"/>
    <w:basedOn w:val="a"/>
    <w:pPr>
      <w:widowControl w:val="0"/>
      <w:suppressLineNumbers/>
    </w:pPr>
  </w:style>
  <w:style w:type="paragraph" w:customStyle="1" w:styleId="afff4">
    <w:name w:val="Заголовок таблицы"/>
    <w:basedOn w:val="afff3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0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1080</Words>
  <Characters>6158</Characters>
  <Application>Microsoft Office Word</Application>
  <DocSecurity>0</DocSecurity>
  <Lines>51</Lines>
  <Paragraphs>14</Paragraphs>
  <ScaleCrop>false</ScaleCrop>
  <Company/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Гончарова Дарья Николаевна</cp:lastModifiedBy>
  <cp:revision>19</cp:revision>
  <dcterms:created xsi:type="dcterms:W3CDTF">2022-09-20T15:02:00Z</dcterms:created>
  <dcterms:modified xsi:type="dcterms:W3CDTF">2025-04-21T15:02:00Z</dcterms:modified>
  <cp:version>1048576</cp:version>
</cp:coreProperties>
</file>