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1\4 на жилой дом общей площадью 47.20 кв.м., расположенный по адресу: Ставропольский край, р-н Предгорный, ст-цаСуворовская, ул. Калинина, д 99.Кадастровый номер: 26:29:030301:1658.Номер государственной регистрации: 26:29:030301:1658-26/474/2021-36.Доля в праве 1\4 на земельный участок общей площадью 1524.00 кв.м. Местоположение установлено относительноориентира, расположенного в границах участка.Почтовый адрес ориентира: крайСтавропольский, р-н Предгорный, ст-цаСуворовская, ул. Калинина, дом 99. Категория земель: Земли населенных пунктов.Виды разрешенного использования: Для ведения личного подсобного хозяйства.Кадастровый номер: 26:29:030301:392.Номер государственной регистрации: 26:29:030301:392-26/474/2021-33.Граница земельного участка не установлена в соответствии с требованиями земельногозаконодательства. 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собственность;Правообладатель: Остроухова З В; реквизиты документа-основания: инвентаризационная опись от20.12.2002 № 168 выдан: ФГУП "СтавропольНИИгипрозем".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Ровенко (Весельская, Кузнецова) Вера Владимировна (дата рождения: 12.05.1982 г., место рождения: г. Минеральные Воды Ставропольского края, СНИЛС 114-284-081 29, ИНН 263212803785, регистрация по месту жительства: 357600, Белгородская область, Яковлевский р-н,  г. Строитель, ул.Жукова, дом 9, кв.304)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1\4 на жилой дом общей площадью 47.20 кв.м., расположенный по адресу: Ставропольский край, р-н Предгорный, ст-цаСуворовская, ул. Калинина, д 99.Кадастровый номер: 26:29:030301:1658.Номер государственной регистрации: 26:29:030301:1658-26/474/2021-36.Доля в праве 1\4 на земельный участок общей площадью 1524.00 кв.м. Местоположение установлено относительноориентира, расположенного в границах участка.Почтовый адрес ориентира: крайСтавропольский, р-н Предгорный, ст-цаСуворовская, ул. Калинина, дом 99. Категория земель: Земли населенных пунктов.Виды разрешенного использования: Для ведения личного подсобного хозяйства.Кадастровый номер: 26:29:030301:392.Номер государственной регистрации: 26:29:030301:392-26/474/2021-33.Граница земельного участка не установлена в соответствии с требованиями земельногозаконодательства. Сведения о вещных правах на объект недвижимости, не зарегистрированных в реестре прав, ограничений прав и обременений недвижимого имущества: Вид права: собственность;Правообладатель: Остроухова З В; реквизиты документа-основания: инвентаризационная опись от20.12.2002 № 168 выдан: ФГУП "СтавропольНИИгипрозем".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