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Style w:val="TableStyle0"/>
        <w:tblW w:w="10395" w:type="dxa"/>
        <w:jc w:val="left"/>
        <w:tblInd w:w="0" w:type="dxa"/>
        <w:tblCellMar>
          <w:top w:w="0" w:type="dxa"/>
          <w:left w:w="0" w:type="dxa"/>
          <w:bottom w:w="0" w:type="dxa"/>
          <w:right w:w="0" w:type="dxa"/>
        </w:tblCellMar>
        <w:tblLook w:val="04a0"/>
      </w:tblPr>
      <w:tblGrid>
        <w:gridCol w:w="944"/>
        <w:gridCol w:w="945"/>
        <w:gridCol w:w="945"/>
        <w:gridCol w:w="945"/>
        <w:gridCol w:w="945"/>
        <w:gridCol w:w="946"/>
        <w:gridCol w:w="945"/>
        <w:gridCol w:w="945"/>
        <w:gridCol w:w="945"/>
        <w:gridCol w:w="945"/>
        <w:gridCol w:w="943"/>
      </w:tblGrid>
      <w:tr>
        <w:trPr>
          <w:trHeight w:val="315"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ДОГОВОР</w:t>
            </w:r>
          </w:p>
        </w:tc>
      </w:tr>
      <w:tr>
        <w:trPr>
          <w:trHeight w:val="270"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купли-продажи</w:t>
            </w:r>
          </w:p>
        </w:tc>
      </w:tr>
      <w:tr>
        <w:trPr>
          <w:trHeight w:val="270" w:hRule="exact"/>
        </w:trPr>
        <w:tc>
          <w:tcPr>
            <w:tcW w:w="9450" w:type="dxa"/>
            <w:gridSpan w:val="10"/>
            <w:tcBorders/>
            <w:shd w:color="FFFFFF" w:fill="auto" w:val="clear"/>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3" w:type="dxa"/>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Мы, нижеподписавшиеся:</w:t>
            </w:r>
          </w:p>
        </w:tc>
      </w:tr>
      <w:tr>
        <w:trPr>
          <w:trHeight w:val="549"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 xml:space="preserve">Гражданин РФ, в лице Гражданина РФ Финансового управляющего, действующего на основании решения Арбитражного суда №А, именуемый в дальнейшем «Продавец», с одной стороны, и </w:t>
            </w:r>
          </w:p>
        </w:tc>
      </w:tr>
      <w:tr>
        <w:trPr>
          <w:trHeight w:val="49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1.  Предмет договора</w:t>
            </w:r>
          </w:p>
        </w:tc>
      </w:tr>
      <w:tr>
        <w:trPr>
          <w:trHeight w:val="97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1.1. </w:t>
            </w:r>
            <w:r>
              <w:rPr>
                <w:rFonts w:ascii="Times New Roman" w:hAnsi="Times New Roman"/>
                <w:kern w:val="0"/>
                <w:sz w:val="20"/>
                <w:szCs w:val="20"/>
              </w:rPr>
              <w:t>В соответствии с Протоколом №  от  по продаже имущества,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r>
              <w:rPr>
                <w:rFonts w:ascii="Times New Roman" w:hAnsi="Times New Roman"/>
                <w:sz w:val="20"/>
                <w:szCs w:val="20"/>
              </w:rPr>
              <w:br/>
            </w:r>
          </w:p>
        </w:tc>
      </w:tr>
      <w:tr>
        <w:trPr>
          <w:trHeight w:val="495" w:hRule="exact"/>
        </w:trPr>
        <w:tc>
          <w:tcPr>
            <w:tcW w:w="10393" w:type="dxa"/>
            <w:gridSpan w:val="11"/>
            <w:tcBorders/>
            <w:shd w:color="FFFFFF" w:fill="FFFFFF"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ЛОТ №</w:t>
            </w:r>
            <w:r>
              <w:rPr>
                <w:rFonts w:ascii="Times New Roman" w:hAnsi="Times New Roman"/>
                <w:sz w:val="20"/>
                <w:szCs w:val="20"/>
              </w:rPr>
              <w:t xml:space="preserve">1 </w:t>
            </w:r>
            <w:r>
              <w:rPr>
                <w:rFonts w:ascii="Times New Roman" w:hAnsi="Times New Roman"/>
                <w:sz w:val="20"/>
                <w:szCs w:val="20"/>
              </w:rPr>
              <w:t xml:space="preserve">-  </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Право собственности зарегистрировано в установленном законом порядке (далее по тексту - «Имущество»).</w:t>
            </w:r>
          </w:p>
        </w:tc>
      </w:tr>
      <w:tr>
        <w:trPr>
          <w:trHeight w:val="49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1.2. На момент составления Договора купли-продажи на вышеуказанном имуществе обременения/ограничения отсутствуют.</w:t>
            </w:r>
          </w:p>
        </w:tc>
      </w:tr>
      <w:tr>
        <w:trPr>
          <w:trHeight w:val="108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1.3. Имущество обеспечено обременением в виде залога в пользу</w:t>
            </w:r>
          </w:p>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br/>
              <w:t>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2. Обязанности Сторон</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2.1. Продавец обязуется:</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2.1.1. Передать Покупателю имущество по акту приема-передачи.</w:t>
            </w:r>
          </w:p>
        </w:tc>
      </w:tr>
      <w:tr>
        <w:trPr>
          <w:trHeight w:val="73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2.2. Покупатель обязан:</w:t>
            </w:r>
          </w:p>
        </w:tc>
      </w:tr>
      <w:tr>
        <w:trPr>
          <w:trHeight w:val="285" w:hRule="exact"/>
        </w:trPr>
        <w:tc>
          <w:tcPr>
            <w:tcW w:w="10393" w:type="dxa"/>
            <w:gridSpan w:val="11"/>
            <w:tcBorders/>
            <w:shd w:color="FFFFFF" w:fill="auto" w:val="clear"/>
            <w:vAlign w:val="bottom"/>
          </w:tcPr>
          <w:p>
            <w:pPr>
              <w:pStyle w:val="Normal"/>
              <w:bidi w:val="0"/>
              <w:spacing w:lineRule="auto" w:line="240" w:before="0" w:after="0"/>
              <w:jc w:val="left"/>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2.2.1. Оплатить полную стоимость имущества в соответствии с настоящим договором.</w:t>
            </w:r>
          </w:p>
        </w:tc>
      </w:tr>
      <w:tr>
        <w:trPr>
          <w:trHeight w:val="49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3. Цена и порядок расчетов</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left"/>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3.1. Стоимость имущества составляет:</w:t>
            </w:r>
          </w:p>
        </w:tc>
      </w:tr>
      <w:tr>
        <w:trPr>
          <w:trHeight w:val="97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г. на сайте https://lot-online.ru/, и указана в Протоколе  от  г. является окончательной и изменению не подлежит.</w:t>
            </w:r>
          </w:p>
        </w:tc>
      </w:tr>
      <w:tr>
        <w:trPr>
          <w:trHeight w:val="52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 xml:space="preserve">3.3. Оплата стоимости имущества по настоящему договору осуществляется Покупателем безналичным платежом на расчетный счет:  </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left"/>
              <w:rPr>
                <w:rFonts w:ascii="Times New Roman" w:hAnsi="Times New Roman"/>
                <w:sz w:val="20"/>
                <w:szCs w:val="20"/>
              </w:rPr>
            </w:pPr>
            <w:r>
              <w:rPr>
                <w:rFonts w:ascii="Times New Roman" w:hAnsi="Times New Roman"/>
                <w:sz w:val="20"/>
                <w:szCs w:val="20"/>
              </w:rPr>
            </w:r>
          </w:p>
        </w:tc>
      </w:tr>
      <w:tr>
        <w:trPr>
          <w:trHeight w:val="174" w:hRule="exact"/>
        </w:trPr>
        <w:tc>
          <w:tcPr>
            <w:tcW w:w="10393" w:type="dxa"/>
            <w:gridSpan w:val="11"/>
            <w:tcBorders/>
            <w:shd w:color="FFFFFF" w:fill="auto" w:val="clear"/>
            <w:vAlign w:val="bottom"/>
          </w:tcPr>
          <w:p>
            <w:pPr>
              <w:pStyle w:val="Normal"/>
              <w:bidi w:val="0"/>
              <w:spacing w:lineRule="auto" w:line="240" w:before="0" w:after="0"/>
              <w:jc w:val="left"/>
              <w:rPr>
                <w:rFonts w:ascii="Times New Roman" w:hAnsi="Times New Roman"/>
                <w:sz w:val="20"/>
                <w:szCs w:val="20"/>
              </w:rPr>
            </w:pPr>
            <w:r>
              <w:rPr>
                <w:rFonts w:ascii="Times New Roman" w:hAnsi="Times New Roman"/>
                <w:sz w:val="20"/>
                <w:szCs w:val="20"/>
              </w:rPr>
              <w:t xml:space="preserve"> </w:t>
            </w:r>
          </w:p>
        </w:tc>
      </w:tr>
      <w:tr>
        <w:trPr>
          <w:trHeight w:val="912" w:hRule="exact"/>
        </w:trPr>
        <w:tc>
          <w:tcPr>
            <w:tcW w:w="10393" w:type="dxa"/>
            <w:gridSpan w:val="11"/>
            <w:tcBorders/>
            <w:shd w:color="FFFFFF" w:fill="auto" w:val="clear"/>
            <w:vAlign w:val="bottom"/>
          </w:tcPr>
          <w:p>
            <w:pPr>
              <w:pStyle w:val="Normal"/>
              <w:bidi w:val="0"/>
              <w:spacing w:lineRule="auto" w:line="240" w:before="0" w:after="0"/>
              <w:jc w:val="left"/>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в течение тридцати дней с даты подписания настоящего договора.</w:t>
            </w:r>
          </w:p>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ВНИМАНИЕ! В НАЗНАЧЕНИЕ ПЛАТЕЖА ПРИ ПЕРЕВОДЕ ОСНОВНОЙ СУММЫ ПО ТОРГАМ УКАЗЫВАЕТСЯ: "ФИО ДОЛЖНИКА, оплата по дкп от ... г. по имуществу ...»</w:t>
            </w:r>
          </w:p>
        </w:tc>
      </w:tr>
      <w:tr>
        <w:trPr>
          <w:trHeight w:val="73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285"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5. Возникновение права собственности</w:t>
            </w:r>
          </w:p>
        </w:tc>
      </w:tr>
      <w:tr>
        <w:trPr>
          <w:trHeight w:val="58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5.1. Право собственности на имущество переходит от Продавца к Покупателю в момент государственной регистрации права собственности.</w:t>
            </w:r>
          </w:p>
        </w:tc>
      </w:tr>
      <w:tr>
        <w:trPr>
          <w:trHeight w:val="285"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6. Ответственность Сторон</w:t>
            </w:r>
          </w:p>
        </w:tc>
      </w:tr>
      <w:tr>
        <w:trPr>
          <w:trHeight w:val="51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7. Порядок разрешения споров</w:t>
            </w:r>
          </w:p>
        </w:tc>
      </w:tr>
      <w:tr>
        <w:trPr>
          <w:trHeight w:val="54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99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tc>
      </w:tr>
      <w:tr>
        <w:trPr>
          <w:trHeight w:val="93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br/>
            </w:r>
          </w:p>
        </w:tc>
      </w:tr>
      <w:tr>
        <w:trPr>
          <w:trHeight w:val="285"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9. Заключительные положения</w:t>
            </w:r>
          </w:p>
        </w:tc>
      </w:tr>
      <w:tr>
        <w:trPr>
          <w:trHeight w:val="58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9.2. Сторонами договора рассмотрены все документы, подготовленные в связи с продажей имущества.</w:t>
            </w:r>
          </w:p>
        </w:tc>
      </w:tr>
      <w:tr>
        <w:trPr>
          <w:trHeight w:val="27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9.3. Настоящий Договор составлен в 2-х экземплярах, имеющих одинаковую юридическую силу.</w:t>
            </w:r>
          </w:p>
        </w:tc>
      </w:tr>
      <w:tr>
        <w:trPr>
          <w:trHeight w:val="99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10. Реквизиты и подписи Сторон</w:t>
            </w:r>
          </w:p>
        </w:tc>
      </w:tr>
      <w:tr>
        <w:trPr>
          <w:trHeight w:val="285" w:hRule="exact"/>
        </w:trPr>
        <w:tc>
          <w:tcPr>
            <w:tcW w:w="4724" w:type="dxa"/>
            <w:gridSpan w:val="5"/>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Продавец:</w:t>
            </w:r>
          </w:p>
        </w:tc>
        <w:tc>
          <w:tcPr>
            <w:tcW w:w="5669" w:type="dxa"/>
            <w:gridSpan w:val="6"/>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Покупатель:</w:t>
            </w:r>
          </w:p>
        </w:tc>
      </w:tr>
      <w:tr>
        <w:trPr>
          <w:trHeight w:val="285" w:hRule="exact"/>
        </w:trPr>
        <w:tc>
          <w:tcPr>
            <w:tcW w:w="4724" w:type="dxa"/>
            <w:gridSpan w:val="5"/>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Гражданин РФ</w:t>
            </w:r>
          </w:p>
        </w:tc>
        <w:tc>
          <w:tcPr>
            <w:tcW w:w="5669" w:type="dxa"/>
            <w:gridSpan w:val="6"/>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Гражданин РФ</w:t>
            </w:r>
          </w:p>
        </w:tc>
      </w:tr>
      <w:tr>
        <w:trPr>
          <w:trHeight w:val="585" w:hRule="exact"/>
        </w:trPr>
        <w:tc>
          <w:tcPr>
            <w:tcW w:w="4724" w:type="dxa"/>
            <w:gridSpan w:val="5"/>
            <w:tcBorders/>
            <w:shd w:color="FFFFFF" w:fill="auto" w:val="clear"/>
            <w:vAlign w:val="bottom"/>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t xml:space="preserve"> </w:t>
            </w:r>
          </w:p>
        </w:tc>
        <w:tc>
          <w:tcPr>
            <w:tcW w:w="5669" w:type="dxa"/>
            <w:gridSpan w:val="6"/>
            <w:vMerge w:val="restart"/>
            <w:tcBorders/>
            <w:shd w:color="FFFFFF" w:fill="auto" w:val="clear"/>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300" w:hRule="exact"/>
        </w:trPr>
        <w:tc>
          <w:tcPr>
            <w:tcW w:w="4724" w:type="dxa"/>
            <w:gridSpan w:val="5"/>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Реквизиты</w:t>
            </w:r>
          </w:p>
        </w:tc>
        <w:tc>
          <w:tcPr>
            <w:tcW w:w="5669" w:type="dxa"/>
            <w:gridSpan w:val="6"/>
            <w:vMerge w:val="continue"/>
            <w:tcBorders/>
            <w:shd w:color="FFFFFF" w:fill="auto" w:val="clear"/>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300" w:hRule="exact"/>
        </w:trPr>
        <w:tc>
          <w:tcPr>
            <w:tcW w:w="4724" w:type="dxa"/>
            <w:gridSpan w:val="5"/>
            <w:tcBorders/>
            <w:shd w:color="FFFFFF" w:fill="auto" w:val="clear"/>
            <w:vAlign w:val="bottom"/>
          </w:tcPr>
          <w:p>
            <w:pPr>
              <w:pStyle w:val="Normal"/>
              <w:bidi w:val="0"/>
              <w:spacing w:lineRule="auto" w:line="240" w:before="0" w:after="0"/>
              <w:jc w:val="left"/>
              <w:rPr>
                <w:rFonts w:ascii="Times New Roman" w:hAnsi="Times New Roman"/>
                <w:sz w:val="20"/>
                <w:szCs w:val="20"/>
              </w:rPr>
            </w:pPr>
            <w:r>
              <w:rPr>
                <w:rFonts w:ascii="Times New Roman" w:hAnsi="Times New Roman"/>
                <w:sz w:val="20"/>
                <w:szCs w:val="20"/>
              </w:rPr>
            </w:r>
          </w:p>
        </w:tc>
        <w:tc>
          <w:tcPr>
            <w:tcW w:w="5669" w:type="dxa"/>
            <w:gridSpan w:val="6"/>
            <w:vMerge w:val="continue"/>
            <w:tcBorders/>
            <w:shd w:color="FFFFFF" w:fill="auto" w:val="clear"/>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108" w:hRule="exact"/>
        </w:trPr>
        <w:tc>
          <w:tcPr>
            <w:tcW w:w="4724" w:type="dxa"/>
            <w:gridSpan w:val="5"/>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p>
        </w:tc>
        <w:tc>
          <w:tcPr>
            <w:tcW w:w="5669" w:type="dxa"/>
            <w:gridSpan w:val="6"/>
            <w:vMerge w:val="continue"/>
            <w:tcBorders/>
            <w:shd w:color="FFFFFF" w:fill="auto" w:val="clear"/>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300" w:hRule="exact"/>
        </w:trPr>
        <w:tc>
          <w:tcPr>
            <w:tcW w:w="944"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5669" w:type="dxa"/>
            <w:gridSpan w:val="6"/>
            <w:vMerge w:val="continue"/>
            <w:tcBorders/>
            <w:shd w:color="FFFFFF" w:fill="auto" w:val="clear"/>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300" w:hRule="exact"/>
        </w:trPr>
        <w:tc>
          <w:tcPr>
            <w:tcW w:w="944"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5669" w:type="dxa"/>
            <w:gridSpan w:val="6"/>
            <w:vMerge w:val="continue"/>
            <w:tcBorders/>
            <w:shd w:color="FFFFFF" w:fill="auto" w:val="clear"/>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300" w:hRule="exact"/>
        </w:trPr>
        <w:tc>
          <w:tcPr>
            <w:tcW w:w="4724" w:type="dxa"/>
            <w:gridSpan w:val="5"/>
            <w:tcBorders/>
            <w:shd w:color="FFFFFF" w:fill="auto" w:val="clear"/>
            <w:vAlign w:val="bottom"/>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t>Финансовый управляющий</w:t>
            </w:r>
          </w:p>
        </w:tc>
        <w:tc>
          <w:tcPr>
            <w:tcW w:w="946"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3"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r>
      <w:tr>
        <w:trPr>
          <w:trHeight w:val="300" w:hRule="exact"/>
        </w:trPr>
        <w:tc>
          <w:tcPr>
            <w:tcW w:w="4724" w:type="dxa"/>
            <w:gridSpan w:val="5"/>
            <w:tcBorders/>
            <w:shd w:color="FFFFFF" w:fill="auto" w:val="clear"/>
            <w:vAlign w:val="bottom"/>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t xml:space="preserve"> </w:t>
            </w:r>
          </w:p>
        </w:tc>
        <w:tc>
          <w:tcPr>
            <w:tcW w:w="946"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3"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r>
      <w:tr>
        <w:trPr>
          <w:trHeight w:val="300" w:hRule="exact"/>
        </w:trPr>
        <w:tc>
          <w:tcPr>
            <w:tcW w:w="944" w:type="dxa"/>
            <w:tcBorders/>
            <w:shd w:color="FFFFFF" w:fill="auto" w:val="clear"/>
            <w:vAlign w:val="bottom"/>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6"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3"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r>
      <w:tr>
        <w:trPr>
          <w:trHeight w:val="360" w:hRule="exact"/>
        </w:trPr>
        <w:tc>
          <w:tcPr>
            <w:tcW w:w="2834" w:type="dxa"/>
            <w:gridSpan w:val="3"/>
            <w:tcBorders/>
            <w:shd w:color="FFFFFF" w:fill="auto" w:val="clear"/>
            <w:vAlign w:val="bottom"/>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t xml:space="preserve"> </w:t>
            </w:r>
          </w:p>
        </w:tc>
        <w:tc>
          <w:tcPr>
            <w:tcW w:w="1890" w:type="dxa"/>
            <w:gridSpan w:val="2"/>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t>______________</w:t>
            </w:r>
          </w:p>
        </w:tc>
        <w:tc>
          <w:tcPr>
            <w:tcW w:w="5669" w:type="dxa"/>
            <w:gridSpan w:val="6"/>
            <w:tcBorders/>
            <w:shd w:color="FFFFFF" w:fill="auto" w:val="clear"/>
            <w:vAlign w:val="bottom"/>
          </w:tcPr>
          <w:p>
            <w:pPr>
              <w:pStyle w:val="Normal"/>
              <w:bidi w:val="0"/>
              <w:spacing w:lineRule="auto" w:line="240" w:before="0" w:after="0"/>
              <w:jc w:val="both"/>
              <w:rPr>
                <w:rFonts w:ascii="Times New Roman" w:hAnsi="Times New Roman"/>
                <w:b/>
                <w:b/>
                <w:sz w:val="20"/>
                <w:szCs w:val="20"/>
              </w:rPr>
            </w:pPr>
            <w:r>
              <w:rPr>
                <w:rFonts w:ascii="Arial" w:hAnsi="Arial"/>
                <w:sz w:val="16"/>
              </w:rPr>
            </w:r>
          </w:p>
        </w:tc>
      </w:tr>
    </w:tbl>
    <w:sectPr>
      <w:type w:val="nextPage"/>
      <w:pgSz w:w="11906" w:h="16838"/>
      <w:pgMar w:left="567" w:right="567" w:header="0" w:top="567" w:footer="0" w:bottom="567"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Times New Roman">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100"/>
  <w:defaultTabStop w:val="720"/>
  <w:autoHyphenation w:val="tru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Arial"/>
        <w:kern w:val="2"/>
        <w:sz w:val="22"/>
        <w:szCs w:val="24"/>
        <w:lang w:val="ru-RU" w:eastAsia="zh-CN" w:bidi="hi-IN"/>
      </w:rPr>
    </w:rPrDefault>
    <w:pPrDefault>
      <w:pPr>
        <w:suppressAutoHyphens w:val="true"/>
      </w:pPr>
    </w:pPrDefault>
  </w:docDefaults>
  <w:style w:type="paragraph" w:styleId="Normal">
    <w:name w:val="Normal"/>
    <w:qFormat/>
    <w:pPr>
      <w:widowControl w:val="false"/>
      <w:bidi w:val="0"/>
    </w:pPr>
    <w:rPr>
      <w:rFonts w:ascii="Calibri" w:hAnsi="Calibri" w:eastAsia="NSimSun" w:cs="Arial"/>
      <w:color w:val="auto"/>
      <w:kern w:val="2"/>
      <w:sz w:val="22"/>
      <w:szCs w:val="24"/>
      <w:lang w:val="ru-RU" w:eastAsia="zh-CN" w:bidi="hi-IN"/>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TotalTime>
  <Application>LibreOffice/6.4.2.2$Windows_X86_64 LibreOffice_project/4e471d8c02c9c90f512f7f9ead8875b57fcb1ec3</Application>
  <Pages>3</Pages>
  <Words>967</Words>
  <Characters>6759</Characters>
  <CharactersWithSpaces>8176</CharactersWithSpaces>
  <Paragraphs>62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2024-08-22T13:04:47Z</dcterms:modified>
  <cp:revision>1</cp:revision>
  <dc:subject/>
  <dc:title/>
</cp:coreProperties>
</file>