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A137D" w14:textId="77777777" w:rsidR="00390D85" w:rsidRPr="0051487C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Документы, необходимые для участия в аукционе в электронной форме:</w:t>
      </w:r>
    </w:p>
    <w:p w14:paraId="529A6ED6" w14:textId="77777777" w:rsidR="00390D85" w:rsidRPr="0051487C" w:rsidRDefault="00390D85" w:rsidP="00390D85">
      <w:pPr>
        <w:widowControl/>
        <w:suppressAutoHyphens w:val="0"/>
        <w:autoSpaceDE w:val="0"/>
        <w:autoSpaceDN w:val="0"/>
        <w:adjustRightInd w:val="0"/>
        <w:spacing w:line="210" w:lineRule="atLeast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</w:p>
    <w:p w14:paraId="3E11A5CD" w14:textId="77777777" w:rsidR="0051487C" w:rsidRPr="0051487C" w:rsidRDefault="0051487C" w:rsidP="0051487C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51487C">
        <w:rPr>
          <w:b/>
          <w:sz w:val="22"/>
          <w:szCs w:val="22"/>
        </w:rPr>
        <w:t>1.</w:t>
      </w:r>
      <w:r w:rsidRPr="0051487C">
        <w:rPr>
          <w:sz w:val="22"/>
          <w:szCs w:val="22"/>
        </w:rPr>
        <w:t xml:space="preserve"> Заявка на участие в аукционе в соответствии с формой, размещенной на официальном сайте АО «Российский аукционный дом», а также на электронной торговой площадке Lot-online в разделе «Документы к лоту/аукциону». Заявка заполняется в электронном виде и подписывается электронной подписью Претендента (его уполномоченного представителя).</w:t>
      </w:r>
    </w:p>
    <w:p w14:paraId="46126EEE" w14:textId="77777777" w:rsidR="0051487C" w:rsidRPr="0051487C" w:rsidRDefault="0051487C" w:rsidP="0051487C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51487C">
        <w:rPr>
          <w:b/>
          <w:sz w:val="22"/>
          <w:szCs w:val="22"/>
        </w:rPr>
        <w:t>2.</w:t>
      </w:r>
      <w:r w:rsidRPr="0051487C">
        <w:rPr>
          <w:sz w:val="22"/>
          <w:szCs w:val="22"/>
        </w:rPr>
        <w:t xml:space="preserve"> Договор о задатке по форме, размещенной на электронной торговой площадке            Lot-online в разделе «Документы к лоту». Договор заполняется в электронном виде и подписывается электронной подписью Претендента (его уполномоченного представителя).</w:t>
      </w:r>
    </w:p>
    <w:p w14:paraId="4C3688E9" w14:textId="77777777" w:rsidR="0051487C" w:rsidRPr="0051487C" w:rsidRDefault="0051487C" w:rsidP="0051487C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</w:rPr>
      </w:pPr>
      <w:r w:rsidRPr="0051487C">
        <w:rPr>
          <w:sz w:val="22"/>
          <w:szCs w:val="22"/>
        </w:rPr>
        <w:t>В случае непредоставления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</w:p>
    <w:p w14:paraId="632F346D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51487C">
        <w:rPr>
          <w:rFonts w:eastAsia="Calibri" w:cs="Times New Roman"/>
          <w:b/>
          <w:kern w:val="0"/>
          <w:sz w:val="22"/>
          <w:szCs w:val="22"/>
          <w:lang w:eastAsia="en-US" w:bidi="ar-SA"/>
        </w:rPr>
        <w:t>3.</w:t>
      </w:r>
      <w:r w:rsidRPr="0051487C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Соглашение о выплате вознаграждения по форме, 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размещенной на электронной торговой площадке 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val="en-US" w:eastAsia="ru-RU" w:bidi="ar-SA"/>
        </w:rPr>
        <w:t>Lot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-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val="en-US" w:eastAsia="ru-RU" w:bidi="ar-SA"/>
        </w:rPr>
        <w:t>online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в разделе «Документы к аукциону/лоту». Соглашение заполняется в электронном виде и подписывается электронной подписью Претендента (его уполномоченного представителя).</w:t>
      </w:r>
    </w:p>
    <w:p w14:paraId="24FB1503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4F61DEA5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78A72F83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Одновременно Претенденты предоставляют подписанные электронной подписью Претендента (его уполномоченного представителя) документы, действительные на день представления:</w:t>
      </w:r>
    </w:p>
    <w:p w14:paraId="40D6B10C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5. Физические лица: </w:t>
      </w:r>
    </w:p>
    <w:p w14:paraId="0752E7F7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копии всех листов документа, удостоверяющего личность;</w:t>
      </w:r>
    </w:p>
    <w:p w14:paraId="1299909A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– копию </w:t>
      </w:r>
      <w:r w:rsidRPr="0051487C">
        <w:rPr>
          <w:rFonts w:eastAsia="Times New Roman"/>
          <w:sz w:val="22"/>
          <w:szCs w:val="22"/>
        </w:rPr>
        <w:t>нотариально удостоверенного согласия супруга на совершение сделки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</w:p>
    <w:p w14:paraId="284D1B52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Юридические лица:</w:t>
      </w:r>
    </w:p>
    <w:p w14:paraId="311DD52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копии учредительных документов;</w:t>
      </w:r>
    </w:p>
    <w:p w14:paraId="60882EFC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копию свидетельства о регистрации юридического лица/листа записи Единого государственного реестра юридических лиц;</w:t>
      </w:r>
    </w:p>
    <w:p w14:paraId="637F5B40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копию свидетельства о постановке на учет в налоговом органе;</w:t>
      </w:r>
    </w:p>
    <w:p w14:paraId="27DCA10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61B8B1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и, если для участника приобретение имущества или внесение денежных средств в качестве задатка являются крупной сделкой.</w:t>
      </w:r>
    </w:p>
    <w:p w14:paraId="79B519D2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– выписку из Единого государственного реестра юридических лиц, выданную не ранее чем за один месяц до даты подачи заявки.</w:t>
      </w:r>
    </w:p>
    <w:p w14:paraId="33AC8D45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7. Индивидуальные предприниматели:</w:t>
      </w:r>
    </w:p>
    <w:p w14:paraId="7DB44CD4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копии всех листов документа, удостоверяющего личность;</w:t>
      </w:r>
    </w:p>
    <w:p w14:paraId="08F46D23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копию свидетельства о внесении физического лица в Единый государственный реестр индивидуальных предпринимателей (ЕГРИП)/листа записи ЕГРИП;</w:t>
      </w:r>
    </w:p>
    <w:p w14:paraId="240B7E9B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копию свидетельства о постановке на налоговый учет;</w:t>
      </w:r>
    </w:p>
    <w:p w14:paraId="6804BE32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– копию </w:t>
      </w:r>
      <w:r w:rsidRPr="0051487C">
        <w:rPr>
          <w:rFonts w:eastAsia="Times New Roman"/>
          <w:sz w:val="22"/>
          <w:szCs w:val="22"/>
        </w:rPr>
        <w:t>нотариально удостоверенного согласия супруга на совершение сделки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</w:p>
    <w:p w14:paraId="190185B8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6A73997D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Указанные документы в части их оформления и содержания должны соответствовать 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 заверенный перевод на русский язык.</w:t>
      </w:r>
    </w:p>
    <w:p w14:paraId="6FD452B5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Документооборот между Претендентами, Участниками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Организатором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–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Претендента (его уполномоченного представителя), Участника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либо Организатора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(далее – электронный документ), за исключением договора купли-продажи имущества, подлежащего заключению по итогам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</w:t>
      </w:r>
    </w:p>
    <w:p w14:paraId="3F75E516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Допустимые форматы загружаемых файлов: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doc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docx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pdf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gif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jpg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jpeg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. Загружаемые файлы подписываются электронной подписью Претендента.</w:t>
      </w:r>
    </w:p>
    <w:p w14:paraId="28E2563C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Организатора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0E12FC17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6" w:history="1">
        <w:r w:rsidRPr="0051487C">
          <w:rPr>
            <w:rStyle w:val="ab"/>
            <w:rFonts w:eastAsia="Times New Roman" w:cs="Times New Roman"/>
            <w:color w:val="0000FF"/>
            <w:kern w:val="0"/>
            <w:sz w:val="22"/>
            <w:szCs w:val="22"/>
            <w:lang w:eastAsia="ru-RU" w:bidi="ar-SA"/>
          </w:rPr>
          <w:t>http://lot-online.ru/static/ecp_list.html</w:t>
        </w:r>
      </w:hyperlink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</w:p>
    <w:p w14:paraId="095DABFE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Заявки, поступившие после истечения срока приема заявок, указанного в сообщении о проведении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Организатором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не принимаются.</w:t>
      </w:r>
    </w:p>
    <w:p w14:paraId="699BD423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Для участия в торгах претендент может подать только одну заявку.</w:t>
      </w:r>
    </w:p>
    <w:p w14:paraId="1A262AA5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453EACF2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в электронной форме, при этом первоначальная заявка должна быть отозвана.</w:t>
      </w:r>
    </w:p>
    <w:p w14:paraId="107D91D0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Ознакомиться с условиями договора о задатке (договора присоединения), договора купли-продажи и иными сведениями об Объектах, выставляемых на продажу, можно с момента начала приема заявок по адресу Организатора аукциона: 190000, Санкт-Петербург, пер. Гривцова д. 5, лит. В, на сайте Организатора аукциона в сети Интернет www.auction-house.ru и на официальном интернет-сайте электронной торговой площадки: www.lot-online.ru</w:t>
      </w:r>
    </w:p>
    <w:p w14:paraId="3C4FA07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Претендент приобретает статус Участника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с момента подписания протокола об определении участников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в электронной форме.</w:t>
      </w:r>
    </w:p>
    <w:p w14:paraId="55CCE9F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Не позднее 1 (одного) рабочего дня до даты проведения электронных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Организатор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обеспечивает рассылку всем Претендентам электронных уведомлений о признании их Участниками электронных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или об отказе в признании Участниками электронных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(с указанием оснований отказа).</w:t>
      </w:r>
    </w:p>
    <w:p w14:paraId="3139CEE1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Организатор аукциона отказывает Претенденту в допуске к участию если:</w:t>
      </w:r>
    </w:p>
    <w:p w14:paraId="11C24F27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- заявка на участие в торгах не соответствует требованиям, установленным настоящим сообщением;</w:t>
      </w:r>
    </w:p>
    <w:p w14:paraId="66635498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представленные Претендентом документы оформлены с нарушением требований законодательства Российской Федерации и условий проведения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, опубликованных в настоящем информационном сообщении или сведения, содержащиеся в них, недостоверны;</w:t>
      </w:r>
    </w:p>
    <w:p w14:paraId="7FE4DA7C" w14:textId="3796F608" w:rsidR="00A81475" w:rsidRPr="0051487C" w:rsidRDefault="0051487C" w:rsidP="0051487C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sz w:val="22"/>
          <w:szCs w:val="22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не подтверждено поступление задатка на один из счетов, указанных в сообщении о проведении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, на дату, указанную в информационном сообщении.</w:t>
      </w:r>
      <w:bookmarkStart w:id="0" w:name="_GoBack"/>
      <w:bookmarkEnd w:id="0"/>
    </w:p>
    <w:sectPr w:rsidR="00A81475" w:rsidRPr="0051487C" w:rsidSect="00390D8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5605F0" w16cex:dateUtc="2025-04-11T13:40:00Z"/>
  <w16cex:commentExtensible w16cex:durableId="2CCB416A" w16cex:dateUtc="2025-04-1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FED83F" w16cid:durableId="1B5605F0"/>
  <w16cid:commentId w16cid:paraId="40354DE3" w16cid:durableId="2CCB41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E39D9"/>
    <w:multiLevelType w:val="hybridMultilevel"/>
    <w:tmpl w:val="7AB853CC"/>
    <w:lvl w:ilvl="0" w:tplc="98FC8E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14"/>
    <w:rsid w:val="00012D8A"/>
    <w:rsid w:val="00057062"/>
    <w:rsid w:val="0008098D"/>
    <w:rsid w:val="000C3A13"/>
    <w:rsid w:val="000F5AEF"/>
    <w:rsid w:val="00100F69"/>
    <w:rsid w:val="001073A0"/>
    <w:rsid w:val="00115DB6"/>
    <w:rsid w:val="001254CE"/>
    <w:rsid w:val="00147B1B"/>
    <w:rsid w:val="0015252F"/>
    <w:rsid w:val="0015661E"/>
    <w:rsid w:val="001D744B"/>
    <w:rsid w:val="001F34D6"/>
    <w:rsid w:val="00252A5A"/>
    <w:rsid w:val="0026442B"/>
    <w:rsid w:val="002C159E"/>
    <w:rsid w:val="00365070"/>
    <w:rsid w:val="00390D85"/>
    <w:rsid w:val="00393F6C"/>
    <w:rsid w:val="003E7071"/>
    <w:rsid w:val="003F0528"/>
    <w:rsid w:val="00477D24"/>
    <w:rsid w:val="004943D8"/>
    <w:rsid w:val="004B50F1"/>
    <w:rsid w:val="0051487C"/>
    <w:rsid w:val="00561E75"/>
    <w:rsid w:val="0058267F"/>
    <w:rsid w:val="005B16E5"/>
    <w:rsid w:val="005C6151"/>
    <w:rsid w:val="005F2988"/>
    <w:rsid w:val="00665114"/>
    <w:rsid w:val="006B3042"/>
    <w:rsid w:val="00791DE3"/>
    <w:rsid w:val="007924C4"/>
    <w:rsid w:val="007B7491"/>
    <w:rsid w:val="007C5DA5"/>
    <w:rsid w:val="00804465"/>
    <w:rsid w:val="00810AC6"/>
    <w:rsid w:val="008322BA"/>
    <w:rsid w:val="008A226A"/>
    <w:rsid w:val="00951741"/>
    <w:rsid w:val="009600DD"/>
    <w:rsid w:val="009D254E"/>
    <w:rsid w:val="00A113A0"/>
    <w:rsid w:val="00A81475"/>
    <w:rsid w:val="00AB2C0A"/>
    <w:rsid w:val="00B24CDF"/>
    <w:rsid w:val="00B35EE2"/>
    <w:rsid w:val="00B41BA1"/>
    <w:rsid w:val="00B50A2B"/>
    <w:rsid w:val="00B66F96"/>
    <w:rsid w:val="00BE3DBE"/>
    <w:rsid w:val="00C1061E"/>
    <w:rsid w:val="00C32D04"/>
    <w:rsid w:val="00C718F3"/>
    <w:rsid w:val="00D12FA8"/>
    <w:rsid w:val="00E01C7B"/>
    <w:rsid w:val="00EB7C75"/>
    <w:rsid w:val="00F15FDF"/>
    <w:rsid w:val="00F50FB0"/>
    <w:rsid w:val="00F60B27"/>
    <w:rsid w:val="00FB356E"/>
    <w:rsid w:val="00FC5F65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4560"/>
  <w15:docId w15:val="{DE088EDA-A917-4277-8399-291B4651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042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04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5">
    <w:name w:val="annotation reference"/>
    <w:basedOn w:val="a0"/>
    <w:uiPriority w:val="99"/>
    <w:semiHidden/>
    <w:unhideWhenUsed/>
    <w:rsid w:val="00012D8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12D8A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rsid w:val="00012D8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D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D8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a">
    <w:name w:val="List Paragraph"/>
    <w:basedOn w:val="a"/>
    <w:uiPriority w:val="34"/>
    <w:qFormat/>
    <w:rsid w:val="00A81475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b">
    <w:name w:val="Hyperlink"/>
    <w:basedOn w:val="a0"/>
    <w:semiHidden/>
    <w:unhideWhenUsed/>
    <w:rsid w:val="0051487C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F60B27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static/ecp_list.html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EF88-3553-4933-A4A2-33FAC0B5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Ярославцева Наталия Михайловна</cp:lastModifiedBy>
  <cp:revision>52</cp:revision>
  <cp:lastPrinted>2016-01-15T10:58:00Z</cp:lastPrinted>
  <dcterms:created xsi:type="dcterms:W3CDTF">2015-12-08T13:57:00Z</dcterms:created>
  <dcterms:modified xsi:type="dcterms:W3CDTF">2025-04-14T13:49:00Z</dcterms:modified>
</cp:coreProperties>
</file>