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19" w:rsidRDefault="00160419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6A40A2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BC1F8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160419" w:rsidRPr="00C63665" w:rsidRDefault="00160419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C1F8C" w:rsidRDefault="00A255E4" w:rsidP="00A255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55E4">
              <w:rPr>
                <w:rFonts w:ascii="Times New Roman" w:eastAsia="Calibri" w:hAnsi="Times New Roman" w:cs="Times New Roman"/>
              </w:rPr>
              <w:t xml:space="preserve">Бывший в употреблении </w:t>
            </w:r>
            <w:r w:rsidR="00BC1F8C" w:rsidRPr="00BC1F8C">
              <w:rPr>
                <w:rFonts w:ascii="Times New Roman" w:eastAsia="Calibri" w:hAnsi="Times New Roman" w:cs="Times New Roman"/>
              </w:rPr>
              <w:t>специализированный автомобиль - самосвал грузовой-бортовой с манипулятором Модель КАМАЗ 659100 КМУ бел</w:t>
            </w:r>
            <w:r w:rsidR="00BC1F8C">
              <w:rPr>
                <w:rFonts w:ascii="Times New Roman" w:eastAsia="Calibri" w:hAnsi="Times New Roman" w:cs="Times New Roman"/>
              </w:rPr>
              <w:t xml:space="preserve">ый, 2021 </w:t>
            </w:r>
            <w:proofErr w:type="spellStart"/>
            <w:r w:rsidR="00BC1F8C">
              <w:rPr>
                <w:rFonts w:ascii="Times New Roman" w:eastAsia="Calibri" w:hAnsi="Times New Roman" w:cs="Times New Roman"/>
              </w:rPr>
              <w:t>г.в</w:t>
            </w:r>
            <w:proofErr w:type="spellEnd"/>
            <w:r w:rsidR="00BC1F8C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proofErr w:type="gramStart"/>
            <w:r w:rsidR="00BC1F8C">
              <w:rPr>
                <w:rFonts w:ascii="Times New Roman" w:eastAsia="Calibri" w:hAnsi="Times New Roman" w:cs="Times New Roman"/>
              </w:rPr>
              <w:t>гос.номер</w:t>
            </w:r>
            <w:proofErr w:type="spellEnd"/>
            <w:proofErr w:type="gramEnd"/>
            <w:r w:rsidR="00BC1F8C">
              <w:rPr>
                <w:rFonts w:ascii="Times New Roman" w:eastAsia="Calibri" w:hAnsi="Times New Roman" w:cs="Times New Roman"/>
              </w:rPr>
              <w:t xml:space="preserve"> </w:t>
            </w:r>
            <w:r w:rsidR="00BC1F8C" w:rsidRPr="00BC1F8C">
              <w:rPr>
                <w:rFonts w:ascii="Times New Roman" w:eastAsia="Calibri" w:hAnsi="Times New Roman" w:cs="Times New Roman"/>
              </w:rPr>
              <w:t>М267АУ154, VIN XDF65910010005710.</w:t>
            </w:r>
          </w:p>
          <w:p w:rsidR="00A255E4" w:rsidRPr="00A255E4" w:rsidRDefault="00A255E4" w:rsidP="00A255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255E4" w:rsidRDefault="00A255E4" w:rsidP="00A255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55E4"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регистрации: </w:t>
            </w:r>
            <w:r w:rsidR="00BC1F8C" w:rsidRPr="00BC1F8C">
              <w:rPr>
                <w:rFonts w:ascii="Times New Roman" w:eastAsia="Calibri" w:hAnsi="Times New Roman" w:cs="Times New Roman"/>
              </w:rPr>
              <w:t>99 27 569812</w:t>
            </w:r>
          </w:p>
          <w:p w:rsidR="00A255E4" w:rsidRPr="00A255E4" w:rsidRDefault="00A255E4" w:rsidP="00A255E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A255E4" w:rsidP="00BC1F8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255E4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оценке, </w:t>
            </w:r>
            <w:r w:rsidR="00BC1F8C">
              <w:rPr>
                <w:rFonts w:ascii="Times New Roman" w:eastAsia="Calibri" w:hAnsi="Times New Roman" w:cs="Times New Roman"/>
              </w:rPr>
              <w:t xml:space="preserve">в </w:t>
            </w:r>
            <w:r w:rsidRPr="00A255E4">
              <w:rPr>
                <w:rFonts w:ascii="Times New Roman" w:eastAsia="Calibri" w:hAnsi="Times New Roman" w:cs="Times New Roman"/>
              </w:rPr>
              <w:t>выписке из электронного паспорта транспортного средства, размещенных в свободном доступе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BC1F8C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6 400</w:t>
            </w:r>
            <w:r w:rsidR="00A255E4">
              <w:rPr>
                <w:rFonts w:ascii="Times New Roman" w:eastAsia="Calibri" w:hAnsi="Times New Roman" w:cs="Times New Roman"/>
                <w:b/>
                <w:bCs/>
              </w:rPr>
              <w:t xml:space="preserve"> 000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BC1F8C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C1F8C">
              <w:rPr>
                <w:rFonts w:ascii="Times New Roman" w:eastAsia="Calibri" w:hAnsi="Times New Roman" w:cs="Times New Roman"/>
                <w:bCs/>
              </w:rPr>
              <w:t xml:space="preserve">Новосибирская область, г. Новосибирск, </w:t>
            </w:r>
            <w:proofErr w:type="spellStart"/>
            <w:r w:rsidRPr="00BC1F8C">
              <w:rPr>
                <w:rFonts w:ascii="Times New Roman" w:eastAsia="Calibri" w:hAnsi="Times New Roman" w:cs="Times New Roman"/>
                <w:bCs/>
              </w:rPr>
              <w:t>Тайгинская</w:t>
            </w:r>
            <w:proofErr w:type="spellEnd"/>
            <w:r w:rsidRPr="00BC1F8C">
              <w:rPr>
                <w:rFonts w:ascii="Times New Roman" w:eastAsia="Calibri" w:hAnsi="Times New Roman" w:cs="Times New Roman"/>
                <w:bCs/>
              </w:rPr>
              <w:t xml:space="preserve"> улица, 11к34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2B2FFF">
        <w:rPr>
          <w:rFonts w:ascii="Times New Roman" w:eastAsia="Calibri" w:hAnsi="Times New Roman" w:cs="Times New Roman"/>
          <w:bCs/>
        </w:rPr>
        <w:t xml:space="preserve">размере </w:t>
      </w:r>
      <w:r w:rsidR="002B2FFF" w:rsidRPr="00B060CF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BC1F8C">
        <w:rPr>
          <w:rFonts w:ascii="Times New Roman" w:eastAsia="Calibri" w:hAnsi="Times New Roman" w:cs="Times New Roman"/>
          <w:b/>
          <w:bCs/>
        </w:rPr>
        <w:t>960 000</w:t>
      </w:r>
      <w:bookmarkStart w:id="0" w:name="_GoBack"/>
      <w:bookmarkEnd w:id="0"/>
      <w:r w:rsidR="00A255E4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BC3241" w:rsidRPr="00AC38F1" w:rsidRDefault="00BC324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41759D">
        <w:rPr>
          <w:rFonts w:ascii="Times New Roman" w:eastAsia="Calibri" w:hAnsi="Times New Roman" w:cs="Times New Roman"/>
          <w:bCs/>
        </w:rPr>
        <w:t xml:space="preserve">на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41759D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255E4" w:rsidRDefault="00AC38F1" w:rsidP="00A255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оплаты продаваемого на торгах Имущества в срок, установленный </w:t>
      </w:r>
      <w:r w:rsidRPr="00AC38F1">
        <w:rPr>
          <w:rFonts w:ascii="Times New Roman" w:eastAsia="Calibri" w:hAnsi="Times New Roman" w:cs="Times New Roman"/>
          <w:bCs/>
        </w:rPr>
        <w:lastRenderedPageBreak/>
        <w:t>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816B34" w:rsidRPr="00816B34" w:rsidTr="00160419">
        <w:trPr>
          <w:trHeight w:val="2745"/>
        </w:trPr>
        <w:tc>
          <w:tcPr>
            <w:tcW w:w="4962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 xml:space="preserve">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160419"/>
    <w:rsid w:val="00230011"/>
    <w:rsid w:val="002B2FFF"/>
    <w:rsid w:val="003A45EA"/>
    <w:rsid w:val="003C2A15"/>
    <w:rsid w:val="0041759D"/>
    <w:rsid w:val="00574723"/>
    <w:rsid w:val="0058321F"/>
    <w:rsid w:val="006A40A2"/>
    <w:rsid w:val="006A4DC6"/>
    <w:rsid w:val="006F5F31"/>
    <w:rsid w:val="00700545"/>
    <w:rsid w:val="0076571E"/>
    <w:rsid w:val="00797DAB"/>
    <w:rsid w:val="00816B34"/>
    <w:rsid w:val="00875897"/>
    <w:rsid w:val="008A6FFA"/>
    <w:rsid w:val="00936886"/>
    <w:rsid w:val="009465D7"/>
    <w:rsid w:val="00A03567"/>
    <w:rsid w:val="00A255E4"/>
    <w:rsid w:val="00A302EB"/>
    <w:rsid w:val="00A37626"/>
    <w:rsid w:val="00AC38F1"/>
    <w:rsid w:val="00B060CF"/>
    <w:rsid w:val="00BA7262"/>
    <w:rsid w:val="00BC1F8C"/>
    <w:rsid w:val="00BC3241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699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32</cp:revision>
  <cp:lastPrinted>2023-10-19T06:20:00Z</cp:lastPrinted>
  <dcterms:created xsi:type="dcterms:W3CDTF">2020-10-14T09:43:00Z</dcterms:created>
  <dcterms:modified xsi:type="dcterms:W3CDTF">2025-03-27T08:22:00Z</dcterms:modified>
</cp:coreProperties>
</file>