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00951" w14:textId="77777777" w:rsidR="003D6AB7" w:rsidRDefault="00D86BFC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1AA2451D" w14:textId="77777777" w:rsidR="003D6AB7" w:rsidRDefault="00D86BFC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имущества, </w:t>
      </w:r>
    </w:p>
    <w:p w14:paraId="5E423776" w14:textId="77777777" w:rsidR="003D6AB7" w:rsidRDefault="00D86BFC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2D56801C" w14:textId="77777777" w:rsidR="003D6AB7" w:rsidRDefault="00D86BFC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6A7D8EA2" w14:textId="77777777" w:rsidR="003D6AB7" w:rsidRDefault="00D86BFC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29 апреля 2025 г. с 11:00 </w:t>
      </w:r>
    </w:p>
    <w:p w14:paraId="6DD5BC3C" w14:textId="77777777" w:rsidR="003D6AB7" w:rsidRDefault="00D86BFC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14:paraId="3BA32C67" w14:textId="77777777" w:rsidR="003D6AB7" w:rsidRDefault="00D86BFC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  <w:shd w:val="clear" w:color="auto" w:fill="FFFFFF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  <w:shd w:val="clear" w:color="auto" w:fill="FFFFFF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  <w:shd w:val="clear" w:color="auto" w:fill="FFFFFF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  <w:shd w:val="clear" w:color="auto" w:fill="FFFFFF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  <w:shd w:val="clear" w:color="auto" w:fill="FFFFFF"/>
          </w:rPr>
          <w:t>ru</w:t>
        </w:r>
      </w:hyperlink>
      <w:hyperlink r:id="rId15" w:tooltip="http://www.lot-online.ru/" w:history="1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14:paraId="7DEB46C1" w14:textId="77777777" w:rsidR="003D6AB7" w:rsidRDefault="00D86BFC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14:paraId="46064410" w14:textId="053238A6" w:rsidR="003D6AB7" w:rsidRDefault="00D86BFC">
      <w:pPr>
        <w:ind w:left="1130" w:firstLine="0"/>
      </w:pPr>
      <w:r>
        <w:t xml:space="preserve">Прием заявок осуществляется </w:t>
      </w:r>
      <w:r w:rsidR="00F40D6E">
        <w:rPr>
          <w:shd w:val="clear" w:color="auto" w:fill="FFFFFF"/>
        </w:rPr>
        <w:t>с 15</w:t>
      </w:r>
      <w:bookmarkStart w:id="0" w:name="_GoBack"/>
      <w:bookmarkEnd w:id="0"/>
      <w:r>
        <w:rPr>
          <w:shd w:val="clear" w:color="auto" w:fill="FFFFFF"/>
        </w:rPr>
        <w:t xml:space="preserve">:00:00 </w:t>
      </w:r>
      <w:r w:rsidR="00F40D6E">
        <w:rPr>
          <w:shd w:val="clear" w:color="auto" w:fill="FFFFFF"/>
        </w:rPr>
        <w:t>27</w:t>
      </w:r>
      <w:r>
        <w:rPr>
          <w:shd w:val="clear" w:color="auto" w:fill="FFFFFF"/>
        </w:rPr>
        <w:t xml:space="preserve"> марта 2025 г. </w:t>
      </w:r>
      <w:r>
        <w:t xml:space="preserve">по 28 апреля 2025 г. до 14:00:00 </w:t>
      </w:r>
    </w:p>
    <w:p w14:paraId="796DEDA7" w14:textId="77777777" w:rsidR="003D6AB7" w:rsidRDefault="00D86BFC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094329B1" w14:textId="77777777" w:rsidR="003D6AB7" w:rsidRDefault="00D86BFC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70A30EE4" w14:textId="77777777" w:rsidR="003D6AB7" w:rsidRDefault="00D86BFC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28 апреля 2025 г. 14:00. </w:t>
      </w:r>
    </w:p>
    <w:p w14:paraId="3A7F2562" w14:textId="77777777" w:rsidR="003D6AB7" w:rsidRDefault="00D86BFC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28 апреля 2025 г. в 15:00. </w:t>
      </w:r>
    </w:p>
    <w:p w14:paraId="3AC9F173" w14:textId="77777777" w:rsidR="003D6AB7" w:rsidRDefault="00D86BFC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7040A23D" w14:textId="77777777" w:rsidR="003D6AB7" w:rsidRDefault="00D86BFC">
      <w:pPr>
        <w:spacing w:after="22" w:line="259" w:lineRule="auto"/>
        <w:ind w:left="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 </w:t>
      </w:r>
    </w:p>
    <w:p w14:paraId="7A9CF9B7" w14:textId="77777777" w:rsidR="003D6AB7" w:rsidRDefault="00D86BFC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7324CF8C" w14:textId="77777777" w:rsidR="003D6AB7" w:rsidRDefault="00D86BFC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663B279E" w14:textId="77777777" w:rsidR="003D6AB7" w:rsidRDefault="00D86BFC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066BB8AF" w14:textId="77777777" w:rsidR="003D6AB7" w:rsidRDefault="00D86BFC">
      <w:pPr>
        <w:ind w:left="0" w:right="60" w:firstLine="0"/>
        <w:rPr>
          <w:b/>
          <w:szCs w:val="24"/>
        </w:rPr>
      </w:pPr>
      <w:r>
        <w:rPr>
          <w:b/>
          <w:szCs w:val="24"/>
        </w:rPr>
        <w:tab/>
        <w:t xml:space="preserve">Объект продажи (Объект, лот): </w:t>
      </w:r>
    </w:p>
    <w:p w14:paraId="6D98D4B5" w14:textId="77777777" w:rsidR="003D6AB7" w:rsidRDefault="00D86BFC">
      <w:pPr>
        <w:ind w:left="426" w:right="60" w:firstLine="0"/>
        <w:rPr>
          <w:color w:val="auto"/>
          <w:szCs w:val="24"/>
        </w:rPr>
      </w:pPr>
      <w:r>
        <w:rPr>
          <w:color w:val="auto"/>
          <w:szCs w:val="24"/>
        </w:rPr>
        <w:tab/>
        <w:t>Земельный участок, площадь: 13523 +/- 41 кв. м, категория земель: земли населенных пунктов, виды разрешенного использования: объекты торговли (торговые центры, торгово-развлекательные центры (комплексы), кадастровый номер 47:07:0713003:15333, расположенный по адресу: Российская Федерация, Ленинградская область, район Всеволожский, поселок Бугры.</w:t>
      </w:r>
    </w:p>
    <w:p w14:paraId="1B251A5E" w14:textId="77777777" w:rsidR="003D6AB7" w:rsidRDefault="00D86BFC">
      <w:pPr>
        <w:ind w:left="426" w:right="60" w:firstLine="0"/>
        <w:rPr>
          <w:color w:val="auto"/>
          <w:szCs w:val="24"/>
        </w:rPr>
      </w:pPr>
      <w:r>
        <w:rPr>
          <w:color w:val="auto"/>
          <w:szCs w:val="24"/>
        </w:rPr>
        <w:t>Обременения (ограничения): согласно выписке из ЕГРН от 17.03.2025.</w:t>
      </w:r>
    </w:p>
    <w:p w14:paraId="7971504D" w14:textId="77777777" w:rsidR="003D6AB7" w:rsidRDefault="00D86BFC">
      <w:pPr>
        <w:ind w:left="426" w:right="60" w:firstLine="0"/>
        <w:rPr>
          <w:b/>
          <w:szCs w:val="24"/>
        </w:rPr>
      </w:pPr>
      <w:r>
        <w:rPr>
          <w:color w:val="auto"/>
          <w:szCs w:val="24"/>
        </w:rPr>
        <w:t xml:space="preserve">  </w:t>
      </w:r>
    </w:p>
    <w:p w14:paraId="0B22971B" w14:textId="77777777" w:rsidR="003D6AB7" w:rsidRDefault="00D86BFC">
      <w:pPr>
        <w:ind w:left="340" w:right="113" w:firstLine="0"/>
        <w:rPr>
          <w:b/>
          <w:szCs w:val="24"/>
        </w:rPr>
      </w:pPr>
      <w:r>
        <w:rPr>
          <w:b/>
          <w:szCs w:val="24"/>
        </w:rPr>
        <w:t xml:space="preserve">Начальная цена лота устанавливается в размере 600 000 000 (Шестьсот миллионов) рублей, НДС не облагается;  </w:t>
      </w:r>
    </w:p>
    <w:p w14:paraId="490BA779" w14:textId="77777777" w:rsidR="003D6AB7" w:rsidRDefault="00D86BFC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>Минимальная цена объекта- 400 000 000 (Четыреста миллионов) рублей.</w:t>
      </w:r>
    </w:p>
    <w:p w14:paraId="5F249D6E" w14:textId="77777777" w:rsidR="003D6AB7" w:rsidRDefault="00D86BFC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 xml:space="preserve">Сумма задатка – 20 000 000 (Двадцать миллионов) рублей.   </w:t>
      </w:r>
    </w:p>
    <w:p w14:paraId="1AB861F3" w14:textId="77777777" w:rsidR="003D6AB7" w:rsidRDefault="00D86BFC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 xml:space="preserve">Шаг аукциона на понижение– 5 000 000 (Пять миллионов) рублей. </w:t>
      </w:r>
    </w:p>
    <w:p w14:paraId="2E926AB7" w14:textId="77777777" w:rsidR="003D6AB7" w:rsidRDefault="00D86BFC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 xml:space="preserve">Шаг аукциона на повышение- 2 000 000 (Два миллиона) рублей. </w:t>
      </w:r>
    </w:p>
    <w:p w14:paraId="4214B43D" w14:textId="77777777" w:rsidR="003D6AB7" w:rsidRDefault="003D6AB7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2F53661F" w14:textId="77777777" w:rsidR="003D6AB7" w:rsidRDefault="00D86BFC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2D81848F" w14:textId="77777777" w:rsidR="003D6AB7" w:rsidRDefault="00D86BFC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b/>
          <w:szCs w:val="24"/>
          <w:lang w:val="en-US"/>
        </w:rPr>
        <w:t xml:space="preserve"> </w:t>
      </w:r>
    </w:p>
    <w:p w14:paraId="5CC73EDC" w14:textId="77777777" w:rsidR="003D6AB7" w:rsidRDefault="00D86BFC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62C360C0" w14:textId="77777777" w:rsidR="003D6AB7" w:rsidRDefault="00D86BFC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7C6395FD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37E0EDD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60CE2D0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17663E0D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8672F32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398A6D07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0E85738C" w14:textId="77777777" w:rsidR="003D6AB7" w:rsidRDefault="00D86BFC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30AE78B5" w14:textId="77777777" w:rsidR="003D6AB7" w:rsidRDefault="00D86BFC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0599018" w14:textId="77777777" w:rsidR="003D6AB7" w:rsidRDefault="00D86BFC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76F9C879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8CCF67" w14:textId="77777777" w:rsidR="003D6AB7" w:rsidRDefault="00D86BFC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1FFD8F97" w14:textId="77777777" w:rsidR="003D6AB7" w:rsidRDefault="00D86BFC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5D7A6048" w14:textId="77777777" w:rsidR="003D6AB7" w:rsidRDefault="00D86BFC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14:paraId="3ACC8E7C" w14:textId="77777777" w:rsidR="003D6AB7" w:rsidRDefault="00D86BFC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4830D34" w14:textId="77777777" w:rsidR="003D6AB7" w:rsidRDefault="00D86BFC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29E5BC8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5033E3F8" w14:textId="77777777" w:rsidR="003D6AB7" w:rsidRDefault="00D86BFC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71BD728A" w14:textId="77777777" w:rsidR="003D6AB7" w:rsidRDefault="00D86BFC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0BE002FC" w14:textId="77777777" w:rsidR="003D6AB7" w:rsidRDefault="00D86BFC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2BDF31EC" w14:textId="77777777" w:rsidR="003D6AB7" w:rsidRDefault="00D86BFC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lastRenderedPageBreak/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2C8B034D" w14:textId="77777777" w:rsidR="003D6AB7" w:rsidRDefault="00D86BFC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6C0A6F45" w14:textId="77777777" w:rsidR="003D6AB7" w:rsidRDefault="00D86BFC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675BA326" w14:textId="77777777" w:rsidR="003D6AB7" w:rsidRDefault="00D86BFC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18ED706" w14:textId="77777777" w:rsidR="003D6AB7" w:rsidRDefault="00D86BFC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1FDBE270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518AB3AF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511C27F9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0366EC6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03446A50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2AF445E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8DECB07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61FA648" w14:textId="77777777" w:rsidR="003D6AB7" w:rsidRDefault="00D86BFC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273AF0B9" w14:textId="77777777" w:rsidR="003D6AB7" w:rsidRDefault="00D86BFC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1B31B782" w14:textId="77777777" w:rsidR="003D6AB7" w:rsidRDefault="003D6AB7">
      <w:pPr>
        <w:ind w:left="0" w:right="60" w:firstLine="0"/>
        <w:rPr>
          <w:szCs w:val="24"/>
        </w:rPr>
      </w:pPr>
    </w:p>
    <w:p w14:paraId="5D59C8F2" w14:textId="77777777" w:rsidR="003D6AB7" w:rsidRDefault="00D86BFC">
      <w:pPr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28 апреля 2025 г.</w:t>
      </w:r>
      <w:r>
        <w:rPr>
          <w:szCs w:val="24"/>
        </w:rPr>
        <w:t xml:space="preserve"> </w:t>
      </w:r>
    </w:p>
    <w:p w14:paraId="587EDA22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15832B9D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42CD0AB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264E1786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Задаток, перечисленный победителем торгов засчитывается в сумму платежа по договору купли-продажи Объекта. </w:t>
      </w:r>
    </w:p>
    <w:p w14:paraId="1CE93CA2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3AC7DB3C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14:paraId="2032521C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4584B052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0E6D23D1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0C03BD3B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067F2BAC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57BB118B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14:paraId="3E9CD3D8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2177D0D9" w14:textId="77777777" w:rsidR="003D6AB7" w:rsidRDefault="00D86BFC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C93E456" w14:textId="77777777" w:rsidR="003D6AB7" w:rsidRDefault="00D86BFC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0AB6001" w14:textId="77777777" w:rsidR="003D6AB7" w:rsidRDefault="00D86BFC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698ED902" w14:textId="77777777" w:rsidR="003D6AB7" w:rsidRDefault="00D86BFC">
      <w:pPr>
        <w:numPr>
          <w:ilvl w:val="0"/>
          <w:numId w:val="7"/>
        </w:numPr>
        <w:ind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82808FB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2ED4433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35E2927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 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E5D81BA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74469E20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542D1E7F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 xml:space="preserve">      </w:t>
      </w:r>
    </w:p>
    <w:p w14:paraId="61F7C520" w14:textId="77777777" w:rsidR="003D6AB7" w:rsidRDefault="00D86BFC">
      <w:pPr>
        <w:ind w:left="-15" w:right="60" w:firstLine="0"/>
        <w:jc w:val="center"/>
        <w:rPr>
          <w:szCs w:val="24"/>
        </w:rPr>
      </w:pPr>
      <w:r>
        <w:rPr>
          <w:b/>
          <w:szCs w:val="24"/>
        </w:rPr>
        <w:t>ПОРЯДОК ПРОВЕДЕНИЯ ЭЛЕКТРОННОГО АУКЦИОНА:</w:t>
      </w:r>
    </w:p>
    <w:p w14:paraId="79525867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Порядок проведения торгов на понижение (голландский аукцион) регулируется Регламентом Системы электронных торгов (СЭТ) АО «Российский аукционный дом» при проведении электрон-ных торгов по продаже имущества, имущественных прав (за исключением имущества, имуще-ственных прав, реализуемых в рамках процедур несостоятельности (банкротства), продажи госу-дарственного или муниципального имущества), размещенном на сайте www.lot-online.ru.</w:t>
      </w:r>
    </w:p>
    <w:p w14:paraId="67166A51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14:paraId="61F98BDA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Электронный аукцион проводится на электронной торговой площадке Акционерного общества «Российский аукционный дом» в день и время, указанные в данном информационном сообщении о проведении аукциона, в режиме реального времени при помощи программно-технических средств электронной торговой площадки.</w:t>
      </w:r>
    </w:p>
    <w:p w14:paraId="3D770FA6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торговой площадки обеспечивается доступ к закрытой части электронной торговой площадки, возможность представления предложений по цене Лота.</w:t>
      </w:r>
    </w:p>
    <w:p w14:paraId="1BA02AE6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Оператор электронной торговой площадки исключает возможность представления Участником аукциона двух и более одинаковых предложений о цене, а также предложение по цене Лота, которое не соответствует текущему предложению по цене.</w:t>
      </w:r>
    </w:p>
    <w:p w14:paraId="6A9A79FE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 xml:space="preserve">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секунды. </w:t>
      </w:r>
    </w:p>
    <w:p w14:paraId="4346E734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При проведении торгов на понижение начальной цены осуществляется последовательное снижение цены первоначального предложения на «шаг аукциона на понижение» до цены отсечения. Время проведения торгов определяется в следующем порядке:</w:t>
      </w:r>
    </w:p>
    <w:p w14:paraId="12209F3E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- если в течение 15 минут с момента начала представления предложений о цене не поступило ни одного предложения о цене Лота, осуществляется последовательное снижение цены первоначального предложения на «шаг аукциона на понижение» до цены отсечения (минимальной цены). Период снижения цены - 5 минут. Торги завершаются программно-аппаратными средствами элек-тронной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торгов;</w:t>
      </w:r>
    </w:p>
    <w:p w14:paraId="0889CFD7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 xml:space="preserve">- в случае поступления предложения о цене Лота в течение периода проведения торгов, время представления предложений о цене Лота, увеличенной на «шаг аукциона на повышение», продлевается на 10 минут с момента представления каждого из предложений по цене. Если в течение такого периода после представления последнего предложения о цене Лота не поступило следующее предложение о его цене, открытые торги с помощью программно-аппаратных средств завершаются автоматически. </w:t>
      </w:r>
    </w:p>
    <w:p w14:paraId="29F71511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«Шаг аукциона на повышение», «шаг аукциона на понижение», период времени, по истечении которого последовательно снижается цена, период времени, по истечение которого торги завер</w:t>
      </w:r>
      <w:r>
        <w:rPr>
          <w:szCs w:val="24"/>
        </w:rPr>
        <w:lastRenderedPageBreak/>
        <w:t>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аукциона.</w:t>
      </w:r>
    </w:p>
    <w:p w14:paraId="06EFFC3B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Ход проведения процедуры аукциона фиксируется Организатором торгов в электронном журнале.</w:t>
      </w:r>
    </w:p>
    <w:p w14:paraId="3FAC08C0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Во время проведения электронных торгов Организатор торгов отклоняет предложение о цене Лота в момент его поступления, направив уведомление об отказе в приеме предложения, в случае если предложение представлено по истечении срока окончания представления предложений.</w:t>
      </w:r>
    </w:p>
    <w:p w14:paraId="45D872C2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Программные средства электронной площадки исключают возможность подачи Участником аукциона предложения по цене Лота, которое не соответствует увеличению текущей цены на «шаг аукциона на повышение».</w:t>
      </w:r>
    </w:p>
    <w:p w14:paraId="1BB7617C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Победителем аукциона признается Участник аукциона, который подтвердил цену первоначального предложения или цену предложения, сложившуюся на соответствующем «шаге понижения» или «шаге повышения», при отсутствии предложений других Участников аукциона.</w:t>
      </w:r>
    </w:p>
    <w:p w14:paraId="65237FD3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торговой площадки формируется протокол о результатах электронного аукциона.</w:t>
      </w:r>
    </w:p>
    <w:p w14:paraId="1DEBC12F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Протокол о результатах электронного аукциона оформляется Организатором торгов в день проведения электронного аукциона.</w:t>
      </w:r>
    </w:p>
    <w:p w14:paraId="785EE164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Лота, предложенную Победителем аукциона, и удостоверяющего право Победителя аукциона на заключение договора купли-продажи Объекта.</w:t>
      </w:r>
    </w:p>
    <w:p w14:paraId="6AF9B7CE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торговой площадки размещается информация о завершении электронного аукциона.</w:t>
      </w:r>
    </w:p>
    <w:p w14:paraId="090D4B0E" w14:textId="77777777" w:rsidR="003D6AB7" w:rsidRDefault="00D86BFC">
      <w:pPr>
        <w:ind w:left="-15" w:right="60" w:firstLine="0"/>
        <w:jc w:val="center"/>
        <w:rPr>
          <w:b/>
          <w:szCs w:val="24"/>
        </w:rPr>
      </w:pPr>
      <w:r>
        <w:rPr>
          <w:b/>
          <w:szCs w:val="24"/>
        </w:rPr>
        <w:t>Электронный аукцион признается несостоявшимся в следующих случаях:</w:t>
      </w:r>
    </w:p>
    <w:p w14:paraId="5E051D3E" w14:textId="77777777" w:rsidR="003D6AB7" w:rsidRDefault="003D6AB7">
      <w:pPr>
        <w:ind w:left="-15" w:right="60" w:firstLine="0"/>
        <w:rPr>
          <w:szCs w:val="24"/>
        </w:rPr>
      </w:pPr>
    </w:p>
    <w:p w14:paraId="053FC678" w14:textId="77777777" w:rsidR="003D6AB7" w:rsidRDefault="00D86BFC">
      <w:pPr>
        <w:numPr>
          <w:ilvl w:val="0"/>
          <w:numId w:val="9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если ни один из Претендентов не признан Участником аукциона;</w:t>
      </w:r>
    </w:p>
    <w:p w14:paraId="7AAD8F21" w14:textId="77777777" w:rsidR="003D6AB7" w:rsidRDefault="00D86BFC">
      <w:pPr>
        <w:numPr>
          <w:ilvl w:val="0"/>
          <w:numId w:val="9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14:paraId="6F58E543" w14:textId="77777777" w:rsidR="003D6AB7" w:rsidRDefault="00D86BFC">
      <w:pPr>
        <w:numPr>
          <w:ilvl w:val="0"/>
          <w:numId w:val="9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цене Лота.</w:t>
      </w:r>
    </w:p>
    <w:p w14:paraId="40603A58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>В случае признания аукциона несостоявшимся, информация об этом размещается в открытой части электронной торговой площадки после оформления Организатором торгов протокола о признании аукциона несостоявшимся.</w:t>
      </w:r>
    </w:p>
    <w:p w14:paraId="46AB1750" w14:textId="77777777" w:rsidR="003D6AB7" w:rsidRDefault="00D86BFC">
      <w:pPr>
        <w:ind w:left="-15" w:right="60" w:firstLine="723"/>
        <w:rPr>
          <w:szCs w:val="24"/>
        </w:rPr>
      </w:pPr>
      <w:r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</w:t>
      </w:r>
    </w:p>
    <w:p w14:paraId="2CAA2DA2" w14:textId="77777777" w:rsidR="003D6AB7" w:rsidRDefault="003D6AB7">
      <w:pPr>
        <w:ind w:left="-15" w:right="60" w:firstLine="0"/>
        <w:rPr>
          <w:szCs w:val="24"/>
        </w:rPr>
      </w:pPr>
    </w:p>
    <w:p w14:paraId="17A563F7" w14:textId="77777777" w:rsidR="003D6AB7" w:rsidRDefault="00D86BFC">
      <w:pPr>
        <w:ind w:left="-15" w:right="60" w:firstLine="15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доб.713.</w:t>
      </w:r>
    </w:p>
    <w:p w14:paraId="3EF8B27A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 xml:space="preserve">           </w:t>
      </w:r>
    </w:p>
    <w:p w14:paraId="65E3D18D" w14:textId="77777777" w:rsidR="003D6AB7" w:rsidRDefault="00D86BFC">
      <w:pPr>
        <w:ind w:left="-15" w:right="60" w:firstLine="0"/>
        <w:rPr>
          <w:szCs w:val="24"/>
        </w:rPr>
      </w:pPr>
      <w:r>
        <w:rPr>
          <w:b/>
          <w:szCs w:val="24"/>
        </w:rPr>
        <w:t xml:space="preserve">                          ПОРЯДОК ЗАКЛЮЧЕНИЯ ДОГОВОРА ПО ИТОГАМ ТОРГОВ: </w:t>
      </w:r>
    </w:p>
    <w:p w14:paraId="6FEB0941" w14:textId="3E8956EC" w:rsidR="003D6AB7" w:rsidRDefault="00D86BFC">
      <w:pPr>
        <w:ind w:left="-15" w:right="60" w:firstLine="0"/>
        <w:rPr>
          <w:b/>
          <w:bCs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с Победителем электронного аукциона (Покупателем) в течение 5 (Пяти) рабочих дней после проведения итогов аукциона (торгов)</w:t>
      </w:r>
      <w:r>
        <w:rPr>
          <w:b/>
          <w:szCs w:val="24"/>
          <w:shd w:val="clear" w:color="auto" w:fill="FFFFFF"/>
        </w:rPr>
        <w:t xml:space="preserve"> </w:t>
      </w:r>
      <w:r>
        <w:rPr>
          <w:b/>
          <w:szCs w:val="24"/>
        </w:rPr>
        <w:t xml:space="preserve"> </w:t>
      </w:r>
      <w:r>
        <w:rPr>
          <w:szCs w:val="24"/>
        </w:rPr>
        <w:t>Оплата цены продажи Объекта производится Покупателем за вычетом ранее внесённого задатка в соответствии с условиями договора купли-продажи.</w:t>
      </w:r>
    </w:p>
    <w:p w14:paraId="26CEE632" w14:textId="4D1D6ED3" w:rsidR="003D6AB7" w:rsidRDefault="00D86BFC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szCs w:val="24"/>
        </w:rPr>
        <w:lastRenderedPageBreak/>
        <w:tab/>
      </w:r>
      <w:r>
        <w:rPr>
          <w:b/>
          <w:bCs/>
          <w:szCs w:val="24"/>
        </w:rPr>
        <w:t>В случае признания аукциона несостоявшимся по причине допуска к участию только одного участника, договор купли-</w:t>
      </w:r>
      <w:r w:rsidRPr="00A05535">
        <w:rPr>
          <w:b/>
          <w:bCs/>
          <w:szCs w:val="24"/>
        </w:rPr>
        <w:t>продажи заключается</w:t>
      </w:r>
      <w:r>
        <w:rPr>
          <w:b/>
          <w:bCs/>
          <w:szCs w:val="24"/>
        </w:rPr>
        <w:t xml:space="preserve"> с единственным участником аукциона, при этом единственный участник аукциона обязуется заключить договор купли-продажи Объекта </w:t>
      </w:r>
      <w:r w:rsidRPr="00A05535">
        <w:rPr>
          <w:b/>
          <w:bCs/>
          <w:szCs w:val="24"/>
        </w:rPr>
        <w:t xml:space="preserve">по начальной цене Объекта. </w:t>
      </w:r>
      <w:r>
        <w:rPr>
          <w:b/>
          <w:bCs/>
          <w:szCs w:val="24"/>
        </w:rPr>
        <w:t>Договор купли-продажи заключается с Единственным участником аукциона в течение 5 (пяти) рабочих дней с даты признания торгов несостоявшимися.</w:t>
      </w:r>
    </w:p>
    <w:p w14:paraId="73154E1D" w14:textId="77777777" w:rsidR="003D6AB7" w:rsidRDefault="00D86BFC">
      <w:pPr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Для заключения договора купли-продажи Объекта Покупатель/единственный участник должен в срок не позднее 5 (пяти) рабочих дней связаться с Организатором торгов по телефону, указанному в настоящем информационном сообщении</w:t>
      </w:r>
      <w:bookmarkStart w:id="1" w:name="_GoBack1"/>
      <w:bookmarkEnd w:id="1"/>
      <w:r>
        <w:rPr>
          <w:szCs w:val="24"/>
        </w:rPr>
        <w:t>.</w:t>
      </w:r>
    </w:p>
    <w:p w14:paraId="1362A394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4A2A0DC0" w14:textId="77777777" w:rsidR="003D6AB7" w:rsidRDefault="00D86BFC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</w:t>
      </w:r>
      <w:r>
        <w:rPr>
          <w:bCs/>
          <w:szCs w:val="24"/>
        </w:rPr>
        <w:t>в соответствии с условиями договора купли-продажи</w:t>
      </w:r>
      <w:r>
        <w:rPr>
          <w:szCs w:val="24"/>
        </w:rPr>
        <w:t>.</w:t>
      </w:r>
    </w:p>
    <w:p w14:paraId="4A5E664D" w14:textId="77777777" w:rsidR="003D6AB7" w:rsidRDefault="00D86BFC">
      <w:pPr>
        <w:ind w:left="-15" w:right="60" w:firstLine="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228772DD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ознакомления с документацией по Объекту, осмотра объекта недвижимости, заключения договора купли-продажи Объекта по итогам торгов обращаться по телефонам Организатора торгов: +7 931 398 14 86, 8-800-777-57-57, доб.713. </w:t>
      </w:r>
    </w:p>
    <w:p w14:paraId="414E486D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color w:val="000080"/>
            <w:szCs w:val="24"/>
            <w:u w:val="single"/>
          </w:rPr>
          <w:t>www.lot</w:t>
        </w:r>
      </w:hyperlink>
      <w:hyperlink r:id="rId45" w:tooltip="http://www.lot-online.ru/" w:history="1">
        <w:r>
          <w:rPr>
            <w:color w:val="000080"/>
            <w:szCs w:val="24"/>
            <w:u w:val="single"/>
          </w:rPr>
          <w:t>-</w:t>
        </w:r>
      </w:hyperlink>
      <w:hyperlink r:id="rId46" w:tooltip="http://www.lot-online.ru/" w:history="1">
        <w:r>
          <w:rPr>
            <w:color w:val="000080"/>
            <w:szCs w:val="24"/>
            <w:u w:val="single"/>
          </w:rPr>
          <w:t>online.ru</w:t>
        </w:r>
      </w:hyperlink>
      <w:hyperlink r:id="rId47" w:tooltip="http://www.lot-online.ru/" w:history="1">
        <w:r>
          <w:rPr>
            <w:color w:val="000080"/>
            <w:szCs w:val="24"/>
            <w:u w:val="single"/>
          </w:rPr>
          <w:t>:</w:t>
        </w:r>
      </w:hyperlink>
      <w:r>
        <w:rPr>
          <w:szCs w:val="24"/>
        </w:rPr>
        <w:t xml:space="preserve"> 8-800-777-57-57. </w:t>
      </w:r>
    </w:p>
    <w:p w14:paraId="733D43A7" w14:textId="77777777" w:rsidR="003D6AB7" w:rsidRDefault="003D6AB7">
      <w:pPr>
        <w:ind w:left="-15" w:right="60" w:firstLine="0"/>
        <w:rPr>
          <w:szCs w:val="24"/>
        </w:rPr>
      </w:pPr>
    </w:p>
    <w:p w14:paraId="10595781" w14:textId="77777777" w:rsidR="003D6AB7" w:rsidRDefault="00D86BFC">
      <w:pPr>
        <w:ind w:left="-15" w:right="60" w:firstLine="0"/>
        <w:rPr>
          <w:i/>
          <w:iCs/>
          <w:szCs w:val="24"/>
        </w:rPr>
      </w:pPr>
      <w:r>
        <w:rPr>
          <w:szCs w:val="24"/>
        </w:rPr>
        <w:t xml:space="preserve"> </w:t>
      </w:r>
    </w:p>
    <w:p w14:paraId="4E7EB0D3" w14:textId="77777777" w:rsidR="003D6AB7" w:rsidRDefault="003D6AB7">
      <w:pPr>
        <w:ind w:left="-15" w:right="60" w:firstLine="0"/>
        <w:rPr>
          <w:szCs w:val="24"/>
        </w:rPr>
      </w:pPr>
    </w:p>
    <w:p w14:paraId="6D527AFF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>Приложения:</w:t>
      </w:r>
    </w:p>
    <w:p w14:paraId="10457B81" w14:textId="77777777" w:rsidR="003D6AB7" w:rsidRDefault="00D86BFC">
      <w:pPr>
        <w:ind w:left="-15" w:right="60" w:firstLine="0"/>
        <w:rPr>
          <w:szCs w:val="24"/>
        </w:rPr>
      </w:pPr>
      <w:r>
        <w:rPr>
          <w:szCs w:val="24"/>
        </w:rPr>
        <w:t>- выписка из ЕГРН</w:t>
      </w:r>
    </w:p>
    <w:p w14:paraId="549FC8DF" w14:textId="77777777" w:rsidR="003D6AB7" w:rsidRDefault="003D6AB7">
      <w:pPr>
        <w:ind w:left="-15" w:right="60" w:firstLine="0"/>
        <w:rPr>
          <w:szCs w:val="24"/>
        </w:rPr>
      </w:pPr>
    </w:p>
    <w:p w14:paraId="10E9F805" w14:textId="77777777" w:rsidR="003D6AB7" w:rsidRDefault="003D6AB7">
      <w:pPr>
        <w:ind w:left="-15" w:right="60" w:firstLine="0"/>
        <w:rPr>
          <w:szCs w:val="24"/>
        </w:rPr>
      </w:pPr>
    </w:p>
    <w:sectPr w:rsidR="003D6AB7">
      <w:pgSz w:w="11906" w:h="16838"/>
      <w:pgMar w:top="751" w:right="507" w:bottom="957" w:left="1133" w:header="0" w:footer="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AAFD9EC" w16cex:dateUtc="2025-03-17T08:06: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AAFD9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FF5DF" w14:textId="77777777" w:rsidR="00327D67" w:rsidRDefault="00327D67">
      <w:pPr>
        <w:spacing w:after="0" w:line="240" w:lineRule="auto"/>
      </w:pPr>
      <w:r>
        <w:separator/>
      </w:r>
    </w:p>
  </w:endnote>
  <w:endnote w:type="continuationSeparator" w:id="0">
    <w:p w14:paraId="163EE2B5" w14:textId="77777777" w:rsidR="00327D67" w:rsidRDefault="0032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55E3C" w14:textId="77777777" w:rsidR="00327D67" w:rsidRDefault="00327D67">
      <w:pPr>
        <w:spacing w:after="0" w:line="240" w:lineRule="auto"/>
      </w:pPr>
      <w:r>
        <w:separator/>
      </w:r>
    </w:p>
  </w:footnote>
  <w:footnote w:type="continuationSeparator" w:id="0">
    <w:p w14:paraId="1E11DC23" w14:textId="77777777" w:rsidR="00327D67" w:rsidRDefault="00327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3B2"/>
    <w:multiLevelType w:val="multilevel"/>
    <w:tmpl w:val="F45C1BE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02B1159"/>
    <w:multiLevelType w:val="multilevel"/>
    <w:tmpl w:val="845AEE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6E23584"/>
    <w:multiLevelType w:val="multilevel"/>
    <w:tmpl w:val="856C11FC"/>
    <w:lvl w:ilvl="0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ᅂʎb畉⣤뜚筌࿿࿿࿿࿿࿿࿿࿿࿿࿿ࣨᅇ鹜τ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79C1B9E"/>
    <w:multiLevelType w:val="multilevel"/>
    <w:tmpl w:val="8408C08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203D99"/>
    <w:multiLevelType w:val="multilevel"/>
    <w:tmpl w:val="BE6822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35692C"/>
    <w:multiLevelType w:val="multilevel"/>
    <w:tmpl w:val="EFB82860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7B5080"/>
    <w:multiLevelType w:val="multilevel"/>
    <w:tmpl w:val="0B0651A0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5112CC"/>
    <w:multiLevelType w:val="multilevel"/>
    <w:tmpl w:val="B148CC5C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6B0E4997"/>
    <w:multiLevelType w:val="multilevel"/>
    <w:tmpl w:val="F64EAD5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B7"/>
    <w:rsid w:val="00327D67"/>
    <w:rsid w:val="003D6AB7"/>
    <w:rsid w:val="00A05535"/>
    <w:rsid w:val="00D86BFC"/>
    <w:rsid w:val="00DA3F88"/>
    <w:rsid w:val="00F4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E4DE6-E497-4621-ACE2-0628E2B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2">
    <w:name w:val="Текст сноски Знак"/>
    <w:basedOn w:val="a0"/>
    <w:link w:val="aff3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5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ff6">
    <w:name w:val="line number"/>
  </w:style>
  <w:style w:type="paragraph" w:customStyle="1" w:styleId="aff7">
    <w:name w:val="Заголовок"/>
    <w:basedOn w:val="a"/>
    <w:next w:val="af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Mang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Mangal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annotation text"/>
    <w:basedOn w:val="a"/>
    <w:link w:val="af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qFormat/>
    <w:rPr>
      <w:b/>
      <w:bCs/>
    </w:rPr>
  </w:style>
  <w:style w:type="paragraph" w:styleId="aff1">
    <w:name w:val="Balloon Text"/>
    <w:basedOn w:val="a"/>
    <w:link w:val="aff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3">
    <w:name w:val="foot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e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3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52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FA3E3-09AB-4480-ABCC-4511C471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Гаврилин Андрей Николаевич</cp:lastModifiedBy>
  <cp:revision>4</cp:revision>
  <dcterms:created xsi:type="dcterms:W3CDTF">2025-03-19T12:37:00Z</dcterms:created>
  <dcterms:modified xsi:type="dcterms:W3CDTF">2025-03-27T09:05:00Z</dcterms:modified>
  <dc:language>ru-RU</dc:language>
</cp:coreProperties>
</file>