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3993" w14:textId="38A331EF" w:rsidR="00E172B3" w:rsidRPr="00286207" w:rsidRDefault="00251FFA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20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8(800)777-5757 (доб.323), vega@auction-house.ru, далее – Организатор торгов), действующее на основании договора поручения с </w:t>
      </w:r>
      <w:r w:rsidRPr="00286207">
        <w:rPr>
          <w:rFonts w:ascii="Times New Roman" w:hAnsi="Times New Roman" w:cs="Times New Roman"/>
          <w:b/>
          <w:sz w:val="20"/>
          <w:szCs w:val="20"/>
        </w:rPr>
        <w:t xml:space="preserve">Медведской Анной Андреевной </w:t>
      </w:r>
      <w:r w:rsidRPr="00286207">
        <w:rPr>
          <w:rFonts w:ascii="Times New Roman" w:hAnsi="Times New Roman" w:cs="Times New Roman"/>
          <w:sz w:val="20"/>
          <w:szCs w:val="20"/>
        </w:rPr>
        <w:t xml:space="preserve">(ранее имевшиеся ФИО: Голанова Анна Андреевна, дата рождения: 26.05.1990 г., место рождения: дер. Б. </w:t>
      </w:r>
      <w:proofErr w:type="spellStart"/>
      <w:r w:rsidRPr="00286207">
        <w:rPr>
          <w:rFonts w:ascii="Times New Roman" w:hAnsi="Times New Roman" w:cs="Times New Roman"/>
          <w:sz w:val="20"/>
          <w:szCs w:val="20"/>
        </w:rPr>
        <w:t>Грызлово</w:t>
      </w:r>
      <w:proofErr w:type="spellEnd"/>
      <w:r w:rsidRPr="00286207">
        <w:rPr>
          <w:rFonts w:ascii="Times New Roman" w:hAnsi="Times New Roman" w:cs="Times New Roman"/>
          <w:sz w:val="20"/>
          <w:szCs w:val="20"/>
        </w:rPr>
        <w:t xml:space="preserve"> Серпуховский р-на Московская обл., СНИЛС 129-517-369 80, ИНН 503905665459, место жительства: 142290, Московская обл., г. Пущино, </w:t>
      </w:r>
      <w:proofErr w:type="spellStart"/>
      <w:r w:rsidRPr="00286207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86207">
        <w:rPr>
          <w:rFonts w:ascii="Times New Roman" w:hAnsi="Times New Roman" w:cs="Times New Roman"/>
          <w:sz w:val="20"/>
          <w:szCs w:val="20"/>
        </w:rPr>
        <w:t xml:space="preserve">. Г, д. 14, кв. 48, далее – Должник), </w:t>
      </w:r>
      <w:r w:rsidRPr="00286207">
        <w:rPr>
          <w:rFonts w:ascii="Times New Roman" w:hAnsi="Times New Roman" w:cs="Times New Roman"/>
          <w:b/>
          <w:sz w:val="20"/>
          <w:szCs w:val="20"/>
        </w:rPr>
        <w:t>в лице</w:t>
      </w:r>
      <w:r w:rsidRPr="00286207">
        <w:rPr>
          <w:rFonts w:ascii="Times New Roman" w:hAnsi="Times New Roman" w:cs="Times New Roman"/>
          <w:sz w:val="20"/>
          <w:szCs w:val="20"/>
        </w:rPr>
        <w:t xml:space="preserve"> </w:t>
      </w:r>
      <w:r w:rsidRPr="00286207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Пудовкина Антона Александровича </w:t>
      </w:r>
      <w:r w:rsidRPr="00286207">
        <w:rPr>
          <w:rFonts w:ascii="Times New Roman" w:hAnsi="Times New Roman" w:cs="Times New Roman"/>
          <w:sz w:val="20"/>
          <w:szCs w:val="20"/>
        </w:rPr>
        <w:t>(ИНН 111701973200, СНИЛС 072-324-403 28, рег. №: 19655, адрес: 454000, г. Челябинск, а/я 33, далее – Финансовый управляющий) – член СРО ААУ «Евросиб» (ИНН 0274107073), действующего на основании Решения Арбитражного суда Московской области от 10.11.2023 (резолютивная часть от 25.10.2023) по делу № А41-65506/23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, </w:t>
      </w:r>
      <w:r w:rsidR="00CD43A4" w:rsidRPr="00127E86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CD43A4" w:rsidRPr="00127E86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27E86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572545" w:rsidRPr="00127E86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27E86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592457" w:rsidRPr="00127E86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127E86">
        <w:rPr>
          <w:rFonts w:ascii="Times New Roman" w:hAnsi="Times New Roman" w:cs="Times New Roman"/>
          <w:sz w:val="20"/>
          <w:szCs w:val="20"/>
        </w:rPr>
        <w:t>ЭП).</w:t>
      </w:r>
      <w:r w:rsidR="0039127B" w:rsidRPr="00127E86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824A9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127E86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27E86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27E86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127E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</w:t>
      </w:r>
      <w:r w:rsidR="00286207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6207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 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к/дней без изменения начальной цены, с</w:t>
      </w:r>
      <w:r w:rsidR="00EE559D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1824A9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1824A9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1824A9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7F24F2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ом периоде. Минимальная цена (цена отсечения)</w:t>
      </w:r>
      <w:r w:rsidR="00A1503B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0F7630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24B9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629 856</w:t>
      </w:r>
      <w:r w:rsidR="00A1503B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,00 </w:t>
      </w:r>
      <w:r w:rsidR="002F7AB6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127E86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</w:t>
      </w:r>
      <w:r w:rsidR="00CD43A4" w:rsidRPr="002862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862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79B8A23" w14:textId="04976803" w:rsidR="00251FFA" w:rsidRPr="00286207" w:rsidRDefault="00251FFA" w:rsidP="00251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1329639"/>
      <w:r w:rsidRPr="00286207">
        <w:rPr>
          <w:rFonts w:ascii="Times New Roman" w:hAnsi="Times New Roman" w:cs="Times New Roman"/>
          <w:sz w:val="20"/>
          <w:szCs w:val="20"/>
        </w:rPr>
        <w:t xml:space="preserve">Продаже на Торгах подлежит имущество (далее – Имущество, Лот): </w:t>
      </w:r>
    </w:p>
    <w:p w14:paraId="650F226D" w14:textId="334EE8D2" w:rsidR="00251FFA" w:rsidRPr="00286207" w:rsidRDefault="00251FFA" w:rsidP="00251FF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171430871"/>
      <w:r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Автомобиль: марка FAW X80, </w:t>
      </w:r>
      <w:r w:rsidRPr="00286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год выпуска 2018, цвет: черный, модель № двигателя: СА4GD1 240943, шасси: отсутствует, кузов № XWFGE306000000998, идентификационный номер (VIN): XWFGE306000000998, адрес местонахождения: Московская область, г. Пущино, </w:t>
      </w:r>
      <w:proofErr w:type="spellStart"/>
      <w:r w:rsidRPr="00286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мкр</w:t>
      </w:r>
      <w:proofErr w:type="spellEnd"/>
      <w:r w:rsidRPr="00286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Г, парковка между домами 14 ,18, 28. </w:t>
      </w:r>
      <w:r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Ограничение (обременение): </w:t>
      </w:r>
      <w:r w:rsidRPr="002862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залог в пользу АО «Эксперт Банк», запрет на регистрационные действия. </w:t>
      </w:r>
      <w:r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Начальная цена </w:t>
      </w:r>
      <w:r w:rsidR="00286207"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86207"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874 800,00 </w:t>
      </w:r>
      <w:r w:rsidRPr="002862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bookmarkEnd w:id="1"/>
    <w:p w14:paraId="10A894E7" w14:textId="44384319" w:rsidR="00251FFA" w:rsidRPr="00286207" w:rsidRDefault="00251FFA" w:rsidP="00251FF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6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Имуществом производится по предварительной договорённости с Организатором торгов: </w:t>
      </w:r>
      <w:r w:rsidR="00E93546" w:rsidRPr="00286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7(967)268-63-09, эл. почта: </w:t>
      </w:r>
      <w:hyperlink r:id="rId6" w:history="1">
        <w:r w:rsidR="00E93546" w:rsidRPr="0028620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fokina@auction-house.ru</w:t>
        </w:r>
      </w:hyperlink>
      <w:r w:rsidRPr="002862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bookmarkEnd w:id="0"/>
    <w:p w14:paraId="60A73BDA" w14:textId="426D0930" w:rsidR="008B3268" w:rsidRPr="00A16C61" w:rsidRDefault="00925822" w:rsidP="005F1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62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251FFA" w:rsidRPr="002862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2862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C5364D" w:rsidRPr="002862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2862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25724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C5364D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F25724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F25724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EA0D38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28620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42B94" w:rsidRPr="00286207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  <w:r w:rsidR="00C5364D" w:rsidRPr="00286207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F25724" w:rsidRPr="00286207">
        <w:rPr>
          <w:rFonts w:ascii="Times New Roman" w:hAnsi="Times New Roman" w:cs="Times New Roman"/>
          <w:sz w:val="20"/>
          <w:szCs w:val="20"/>
        </w:rPr>
        <w:t xml:space="preserve">. 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286207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86207">
        <w:rPr>
          <w:rFonts w:ascii="Times New Roman" w:hAnsi="Times New Roman" w:cs="Times New Roman"/>
          <w:sz w:val="20"/>
          <w:szCs w:val="20"/>
        </w:rPr>
        <w:t>(далее</w:t>
      </w:r>
      <w:r w:rsidRPr="00286207">
        <w:rPr>
          <w:rFonts w:ascii="Times New Roman" w:hAnsi="Times New Roman" w:cs="Times New Roman"/>
          <w:sz w:val="20"/>
          <w:szCs w:val="20"/>
        </w:rPr>
        <w:t xml:space="preserve"> </w:t>
      </w:r>
      <w:r w:rsidR="00C5364D" w:rsidRPr="00286207">
        <w:rPr>
          <w:rFonts w:ascii="Times New Roman" w:hAnsi="Times New Roman" w:cs="Times New Roman"/>
          <w:sz w:val="20"/>
          <w:szCs w:val="20"/>
        </w:rPr>
        <w:t>–</w:t>
      </w:r>
      <w:r w:rsidRPr="00286207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286207">
        <w:rPr>
          <w:rFonts w:ascii="Times New Roman" w:hAnsi="Times New Roman" w:cs="Times New Roman"/>
          <w:sz w:val="20"/>
          <w:szCs w:val="20"/>
        </w:rPr>
        <w:t>ДКП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25724" w:rsidRPr="0028620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25724" w:rsidRPr="0028620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 </w:t>
      </w:r>
      <w:r w:rsidRPr="00286207">
        <w:rPr>
          <w:rFonts w:ascii="Times New Roman" w:hAnsi="Times New Roman" w:cs="Times New Roman"/>
          <w:sz w:val="20"/>
          <w:szCs w:val="20"/>
        </w:rPr>
        <w:t>ДКП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 от </w:t>
      </w:r>
      <w:r w:rsidR="00F25724" w:rsidRPr="0028620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286207">
        <w:rPr>
          <w:rFonts w:ascii="Times New Roman" w:hAnsi="Times New Roman" w:cs="Times New Roman"/>
          <w:sz w:val="20"/>
          <w:szCs w:val="20"/>
        </w:rPr>
        <w:t xml:space="preserve">. </w:t>
      </w:r>
      <w:r w:rsidR="00942B94" w:rsidRPr="00286207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ДКП на спец. счет Должника: </w:t>
      </w:r>
      <w:r w:rsidR="00251FFA" w:rsidRPr="00286207">
        <w:rPr>
          <w:rFonts w:ascii="Times New Roman" w:hAnsi="Times New Roman" w:cs="Times New Roman"/>
          <w:sz w:val="20"/>
          <w:szCs w:val="20"/>
        </w:rPr>
        <w:t>р/с 40817810950180141611 в ФИЛИАЛ «ЦЕНТРАЛЬНЫЙ» ПАО «СОВКОМБАНК», к/с 30101810150040000763, БИК 544543001</w:t>
      </w:r>
      <w:r w:rsidR="00592457" w:rsidRPr="00286207">
        <w:rPr>
          <w:rFonts w:ascii="Times New Roman" w:hAnsi="Times New Roman" w:cs="Times New Roman"/>
          <w:sz w:val="20"/>
          <w:szCs w:val="20"/>
        </w:rPr>
        <w:t>.</w:t>
      </w:r>
      <w:r w:rsidR="00942B94" w:rsidRPr="00251FF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B3268" w:rsidRPr="00A16C61" w:rsidSect="000F00D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1508"/>
    <w:rsid w:val="00012EA6"/>
    <w:rsid w:val="00020FFA"/>
    <w:rsid w:val="00047240"/>
    <w:rsid w:val="00050CEB"/>
    <w:rsid w:val="00085CCC"/>
    <w:rsid w:val="00086FDB"/>
    <w:rsid w:val="000A5070"/>
    <w:rsid w:val="000A6752"/>
    <w:rsid w:val="000B7131"/>
    <w:rsid w:val="000C2A29"/>
    <w:rsid w:val="000E107D"/>
    <w:rsid w:val="000E7C91"/>
    <w:rsid w:val="000F00D6"/>
    <w:rsid w:val="000F7630"/>
    <w:rsid w:val="001019D9"/>
    <w:rsid w:val="001067A7"/>
    <w:rsid w:val="0011593E"/>
    <w:rsid w:val="00127E86"/>
    <w:rsid w:val="001417D2"/>
    <w:rsid w:val="00147326"/>
    <w:rsid w:val="0016506C"/>
    <w:rsid w:val="00166008"/>
    <w:rsid w:val="00172CCB"/>
    <w:rsid w:val="001824A9"/>
    <w:rsid w:val="00185F96"/>
    <w:rsid w:val="00191D07"/>
    <w:rsid w:val="001A056B"/>
    <w:rsid w:val="001B5612"/>
    <w:rsid w:val="001C524B"/>
    <w:rsid w:val="001F1630"/>
    <w:rsid w:val="001F18BF"/>
    <w:rsid w:val="00210AD8"/>
    <w:rsid w:val="00214DCD"/>
    <w:rsid w:val="002273B7"/>
    <w:rsid w:val="00251FFA"/>
    <w:rsid w:val="00263C22"/>
    <w:rsid w:val="00286207"/>
    <w:rsid w:val="00294098"/>
    <w:rsid w:val="00294DA6"/>
    <w:rsid w:val="002A7CCB"/>
    <w:rsid w:val="002B2E24"/>
    <w:rsid w:val="002D318C"/>
    <w:rsid w:val="002F7AB6"/>
    <w:rsid w:val="003178BD"/>
    <w:rsid w:val="00335152"/>
    <w:rsid w:val="00343C66"/>
    <w:rsid w:val="00347CD6"/>
    <w:rsid w:val="003628D9"/>
    <w:rsid w:val="003873DE"/>
    <w:rsid w:val="00390A28"/>
    <w:rsid w:val="0039127B"/>
    <w:rsid w:val="00396D39"/>
    <w:rsid w:val="003C4BE6"/>
    <w:rsid w:val="00407DA4"/>
    <w:rsid w:val="00423839"/>
    <w:rsid w:val="00432F1F"/>
    <w:rsid w:val="004424B9"/>
    <w:rsid w:val="00473B3F"/>
    <w:rsid w:val="00482014"/>
    <w:rsid w:val="004A1589"/>
    <w:rsid w:val="004A40BD"/>
    <w:rsid w:val="004B347B"/>
    <w:rsid w:val="004B6930"/>
    <w:rsid w:val="004D2415"/>
    <w:rsid w:val="004D4A8C"/>
    <w:rsid w:val="004F19E1"/>
    <w:rsid w:val="004F1F06"/>
    <w:rsid w:val="00552A86"/>
    <w:rsid w:val="005562BD"/>
    <w:rsid w:val="00557205"/>
    <w:rsid w:val="00565EF2"/>
    <w:rsid w:val="00572545"/>
    <w:rsid w:val="00573F80"/>
    <w:rsid w:val="00592457"/>
    <w:rsid w:val="005A26BB"/>
    <w:rsid w:val="005C202A"/>
    <w:rsid w:val="005D7EB6"/>
    <w:rsid w:val="005E3AFC"/>
    <w:rsid w:val="005E688E"/>
    <w:rsid w:val="005F1121"/>
    <w:rsid w:val="0061258C"/>
    <w:rsid w:val="006607FA"/>
    <w:rsid w:val="006643AB"/>
    <w:rsid w:val="00673C54"/>
    <w:rsid w:val="00677E82"/>
    <w:rsid w:val="0068379D"/>
    <w:rsid w:val="00685F47"/>
    <w:rsid w:val="006A5A0B"/>
    <w:rsid w:val="006A7910"/>
    <w:rsid w:val="006B04DB"/>
    <w:rsid w:val="006B550C"/>
    <w:rsid w:val="006C4E4C"/>
    <w:rsid w:val="006E0DAC"/>
    <w:rsid w:val="006F6ACB"/>
    <w:rsid w:val="00702D73"/>
    <w:rsid w:val="007115EC"/>
    <w:rsid w:val="00740953"/>
    <w:rsid w:val="00764A51"/>
    <w:rsid w:val="007903BD"/>
    <w:rsid w:val="007A0CBF"/>
    <w:rsid w:val="007A7D01"/>
    <w:rsid w:val="007B351D"/>
    <w:rsid w:val="007C286F"/>
    <w:rsid w:val="007D28C8"/>
    <w:rsid w:val="007F0E12"/>
    <w:rsid w:val="007F24F2"/>
    <w:rsid w:val="00803354"/>
    <w:rsid w:val="00812FCD"/>
    <w:rsid w:val="00830CA0"/>
    <w:rsid w:val="00847FF4"/>
    <w:rsid w:val="00876C9A"/>
    <w:rsid w:val="0088440C"/>
    <w:rsid w:val="008964CB"/>
    <w:rsid w:val="008A0DB8"/>
    <w:rsid w:val="008B3268"/>
    <w:rsid w:val="008E55F0"/>
    <w:rsid w:val="008E7A4E"/>
    <w:rsid w:val="00925822"/>
    <w:rsid w:val="00942B94"/>
    <w:rsid w:val="0094605F"/>
    <w:rsid w:val="00952594"/>
    <w:rsid w:val="00994603"/>
    <w:rsid w:val="009A030D"/>
    <w:rsid w:val="009B541A"/>
    <w:rsid w:val="009B70EA"/>
    <w:rsid w:val="009B78D0"/>
    <w:rsid w:val="009F762F"/>
    <w:rsid w:val="00A005A6"/>
    <w:rsid w:val="00A11390"/>
    <w:rsid w:val="00A1503B"/>
    <w:rsid w:val="00A16C61"/>
    <w:rsid w:val="00A535F2"/>
    <w:rsid w:val="00A86160"/>
    <w:rsid w:val="00AF35D8"/>
    <w:rsid w:val="00B03583"/>
    <w:rsid w:val="00B05940"/>
    <w:rsid w:val="00B45866"/>
    <w:rsid w:val="00B47058"/>
    <w:rsid w:val="00B55CA3"/>
    <w:rsid w:val="00B60817"/>
    <w:rsid w:val="00B82C20"/>
    <w:rsid w:val="00BC2CB1"/>
    <w:rsid w:val="00BE2DF8"/>
    <w:rsid w:val="00BF7AED"/>
    <w:rsid w:val="00C02ADC"/>
    <w:rsid w:val="00C15BFF"/>
    <w:rsid w:val="00C26179"/>
    <w:rsid w:val="00C5364D"/>
    <w:rsid w:val="00C54C18"/>
    <w:rsid w:val="00C63873"/>
    <w:rsid w:val="00C81E79"/>
    <w:rsid w:val="00CA5B16"/>
    <w:rsid w:val="00CB061B"/>
    <w:rsid w:val="00CB2777"/>
    <w:rsid w:val="00CB4916"/>
    <w:rsid w:val="00CB669D"/>
    <w:rsid w:val="00CC0485"/>
    <w:rsid w:val="00CD032B"/>
    <w:rsid w:val="00CD43A4"/>
    <w:rsid w:val="00CD5215"/>
    <w:rsid w:val="00CD7698"/>
    <w:rsid w:val="00CD7BCD"/>
    <w:rsid w:val="00CE310F"/>
    <w:rsid w:val="00D35265"/>
    <w:rsid w:val="00D7625C"/>
    <w:rsid w:val="00D8458E"/>
    <w:rsid w:val="00DB55F7"/>
    <w:rsid w:val="00DC50AB"/>
    <w:rsid w:val="00E107D1"/>
    <w:rsid w:val="00E172B3"/>
    <w:rsid w:val="00E209FB"/>
    <w:rsid w:val="00E23867"/>
    <w:rsid w:val="00E31A05"/>
    <w:rsid w:val="00E46DD7"/>
    <w:rsid w:val="00E50E9D"/>
    <w:rsid w:val="00E5361D"/>
    <w:rsid w:val="00E6437B"/>
    <w:rsid w:val="00E645FC"/>
    <w:rsid w:val="00E672B1"/>
    <w:rsid w:val="00E92396"/>
    <w:rsid w:val="00E9295A"/>
    <w:rsid w:val="00E93546"/>
    <w:rsid w:val="00EA0D38"/>
    <w:rsid w:val="00EE4CCC"/>
    <w:rsid w:val="00EE559D"/>
    <w:rsid w:val="00EF0ADA"/>
    <w:rsid w:val="00F01488"/>
    <w:rsid w:val="00F24936"/>
    <w:rsid w:val="00F25724"/>
    <w:rsid w:val="00F319B0"/>
    <w:rsid w:val="00F4728B"/>
    <w:rsid w:val="00F739BA"/>
    <w:rsid w:val="00F76C11"/>
    <w:rsid w:val="00FA3635"/>
    <w:rsid w:val="00FC698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8254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aliases w:val="Абзац списка ЦНЭС,Начало абзаца"/>
    <w:basedOn w:val="a"/>
    <w:link w:val="ac"/>
    <w:uiPriority w:val="34"/>
    <w:qFormat/>
    <w:rsid w:val="00942B94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c">
    <w:name w:val="Абзац списка Знак"/>
    <w:aliases w:val="Абзац списка ЦНЭС Знак,Начало абзаца Знак"/>
    <w:link w:val="ab"/>
    <w:uiPriority w:val="34"/>
    <w:rsid w:val="00942B94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d">
    <w:name w:val="Unresolved Mention"/>
    <w:basedOn w:val="a0"/>
    <w:uiPriority w:val="99"/>
    <w:semiHidden/>
    <w:unhideWhenUsed/>
    <w:rsid w:val="00E93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kina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89A3-BE6B-4ED1-9745-5E34E884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97</cp:revision>
  <cp:lastPrinted>2022-11-25T07:43:00Z</cp:lastPrinted>
  <dcterms:created xsi:type="dcterms:W3CDTF">2023-10-04T11:26:00Z</dcterms:created>
  <dcterms:modified xsi:type="dcterms:W3CDTF">2025-03-20T09:13:00Z</dcterms:modified>
</cp:coreProperties>
</file>