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numPr>
          <w:ilvl w:val="0"/>
          <w:numId w:val="0"/>
        </w:numPr>
        <w:ind w:firstLine="567"/>
        <w:jc w:val="both"/>
        <w:rPr>
          <w:b/>
        </w:rPr>
        <w:outlineLvl w:val="0"/>
      </w:pPr>
      <w:r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на право заключения договора аренды объекта недвижимости, принадлежащего ПАО Сбербанк на праве собственности.</w:t>
      </w:r>
      <w:r>
        <w:rPr>
          <w:b/>
        </w:rPr>
      </w:r>
    </w:p>
    <w:p>
      <w:pPr>
        <w:pStyle w:val="746"/>
        <w:numPr>
          <w:ilvl w:val="0"/>
          <w:numId w:val="0"/>
        </w:numPr>
        <w:ind w:firstLine="567"/>
        <w:jc w:val="center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567"/>
        <w:jc w:val="center"/>
        <w:outlineLvl w:val="0"/>
      </w:pPr>
      <w:r>
        <w:rPr>
          <w:rFonts w:eastAsia="Times New Roman"/>
          <w:b/>
          <w:bCs/>
        </w:rPr>
        <w:t xml:space="preserve">Электронный аукцион будет проводиться </w:t>
      </w:r>
      <w:r>
        <w:rPr>
          <w:rFonts w:eastAsia="Times New Roman"/>
          <w:b/>
          <w:bCs/>
          <w:color w:val="0070c0"/>
        </w:rPr>
        <w:t xml:space="preserve">15 апреля 2025 </w:t>
      </w:r>
      <w:r>
        <w:rPr>
          <w:b/>
          <w:bCs/>
          <w:color w:val="0070c0"/>
        </w:rPr>
        <w:t xml:space="preserve">года в 09:00</w:t>
      </w:r>
      <w:r>
        <w:rPr>
          <w:b/>
          <w:bCs/>
        </w:rPr>
        <w:t xml:space="preserve"> (МСК)</w:t>
      </w:r>
      <w:r/>
    </w:p>
    <w:p>
      <w:pPr>
        <w:pStyle w:val="746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на электронной торговой площадке АО «Российский аукционный дом»</w:t>
      </w:r>
      <w:r>
        <w:rPr>
          <w:rFonts w:eastAsia="Times New Roman"/>
          <w:b/>
          <w:bCs/>
        </w:rPr>
      </w:r>
    </w:p>
    <w:p>
      <w:pPr>
        <w:pStyle w:val="746"/>
        <w:jc w:val="center"/>
      </w:pPr>
      <w:r>
        <w:rPr>
          <w:rFonts w:eastAsia="Times New Roman"/>
          <w:b/>
          <w:bCs/>
        </w:rPr>
        <w:t xml:space="preserve">по адресу </w:t>
      </w:r>
      <w:hyperlink r:id="rId9" w:tooltip="http://www.lot-online.ru/" w:history="1">
        <w:r>
          <w:rPr>
            <w:rStyle w:val="794"/>
            <w:rFonts w:eastAsia="Times New Roman"/>
            <w:b/>
            <w:bCs/>
            <w:color w:val="0000ff"/>
            <w:u w:val="single"/>
            <w:lang w:val="en-US"/>
          </w:rPr>
          <w:t xml:space="preserve">www</w:t>
        </w:r>
        <w:r>
          <w:rPr>
            <w:rStyle w:val="794"/>
            <w:rFonts w:eastAsia="Times New Roman"/>
            <w:b/>
            <w:bCs/>
            <w:color w:val="0000ff"/>
            <w:u w:val="single"/>
          </w:rPr>
          <w:t xml:space="preserve">.</w:t>
        </w:r>
        <w:r>
          <w:rPr>
            <w:rStyle w:val="794"/>
            <w:rFonts w:eastAsia="Times New Roman"/>
            <w:b/>
            <w:bCs/>
            <w:color w:val="0000ff"/>
            <w:u w:val="single"/>
            <w:lang w:val="en-US"/>
          </w:rPr>
          <w:t xml:space="preserve">lot</w:t>
        </w:r>
        <w:r>
          <w:rPr>
            <w:rStyle w:val="794"/>
            <w:rFonts w:eastAsia="Times New Roman"/>
            <w:b/>
            <w:bCs/>
            <w:color w:val="0000ff"/>
            <w:u w:val="single"/>
          </w:rPr>
          <w:t xml:space="preserve">-</w:t>
        </w:r>
        <w:r>
          <w:rPr>
            <w:rStyle w:val="794"/>
            <w:rFonts w:eastAsia="Times New Roman"/>
            <w:b/>
            <w:bCs/>
            <w:color w:val="0000ff"/>
            <w:u w:val="single"/>
            <w:lang w:val="en-US"/>
          </w:rPr>
          <w:t xml:space="preserve">online</w:t>
        </w:r>
        <w:r>
          <w:rPr>
            <w:rStyle w:val="794"/>
            <w:rFonts w:eastAsia="Times New Roman"/>
            <w:b/>
            <w:bCs/>
            <w:color w:val="0000ff"/>
            <w:u w:val="single"/>
          </w:rPr>
          <w:t xml:space="preserve">.</w:t>
        </w:r>
        <w:r>
          <w:rPr>
            <w:rStyle w:val="794"/>
            <w:rFonts w:eastAsia="Times New Roman"/>
            <w:b/>
            <w:bCs/>
            <w:color w:val="0000ff"/>
            <w:u w:val="single"/>
            <w:lang w:val="en-US"/>
          </w:rPr>
          <w:t xml:space="preserve">ru</w:t>
        </w:r>
      </w:hyperlink>
      <w:r>
        <w:rPr>
          <w:rFonts w:eastAsia="Times New Roman"/>
          <w:b/>
          <w:bCs/>
        </w:rPr>
        <w:t xml:space="preserve">. </w:t>
      </w:r>
      <w:r/>
    </w:p>
    <w:p>
      <w:pPr>
        <w:pStyle w:val="746"/>
        <w:ind w:firstLine="709"/>
        <w:jc w:val="center"/>
      </w:pPr>
      <w:r>
        <w:rPr>
          <w:rFonts w:eastAsia="Times New Roman"/>
          <w:b/>
          <w:bCs/>
        </w:rPr>
        <w:t xml:space="preserve">Организатор торгов –</w:t>
      </w:r>
      <w:r>
        <w:rPr>
          <w:bCs/>
        </w:rPr>
        <w:t xml:space="preserve"> АО «Российский аукционный дом».</w:t>
      </w:r>
      <w:r/>
    </w:p>
    <w:p>
      <w:pPr>
        <w:pStyle w:val="746"/>
        <w:jc w:val="center"/>
      </w:pPr>
      <w:r>
        <w:rPr>
          <w:b/>
          <w:bCs/>
        </w:rPr>
        <w:t xml:space="preserve">Прием заявок с </w:t>
      </w:r>
      <w:r>
        <w:rPr>
          <w:b/>
          <w:bCs/>
          <w:color w:val="0070c0"/>
        </w:rPr>
        <w:t xml:space="preserve">12 марта 2025 г. 09:00 по 13 апреля 2025 г. до 09:00 </w:t>
      </w:r>
      <w:r>
        <w:rPr>
          <w:b/>
          <w:bCs/>
        </w:rPr>
        <w:t xml:space="preserve">МСК.</w:t>
      </w:r>
      <w:r/>
    </w:p>
    <w:p>
      <w:pPr>
        <w:pStyle w:val="746"/>
        <w:jc w:val="center"/>
      </w:pPr>
      <w:r>
        <w:rPr>
          <w:b/>
          <w:bCs/>
        </w:rPr>
        <w:t xml:space="preserve">Задаток должен поступить на счет Оператора электронной площадки (далее – Оператор) не позднее </w:t>
      </w:r>
      <w:r>
        <w:rPr>
          <w:b/>
          <w:bCs/>
          <w:color w:val="0070c0"/>
        </w:rPr>
        <w:t xml:space="preserve">09:00</w:t>
      </w:r>
      <w:r>
        <w:rPr>
          <w:b/>
          <w:bCs/>
        </w:rPr>
        <w:t xml:space="preserve"> (МСК) </w:t>
      </w:r>
      <w:r>
        <w:rPr>
          <w:b/>
          <w:bCs/>
          <w:color w:val="0070c0"/>
        </w:rPr>
        <w:t xml:space="preserve">13 апреля 2025 г</w:t>
      </w:r>
      <w:r>
        <w:rPr>
          <w:b/>
          <w:bCs/>
        </w:rPr>
        <w:t xml:space="preserve">.</w:t>
      </w:r>
      <w:r/>
    </w:p>
    <w:p>
      <w:pPr>
        <w:pStyle w:val="746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ind w:firstLine="567"/>
        <w:jc w:val="both"/>
        <w:rPr>
          <w:bCs/>
        </w:rPr>
      </w:pPr>
      <w:r>
        <w:rPr>
          <w:bCs/>
        </w:rPr>
        <w:t xml:space="preserve">Допуск претендентов к электронному аукциону осуществляется Организатором торгов</w:t>
      </w:r>
      <w:r>
        <w:rPr>
          <w:b/>
          <w:bCs/>
        </w:rPr>
        <w:t xml:space="preserve"> до </w:t>
      </w:r>
      <w:r>
        <w:rPr>
          <w:b/>
          <w:bCs/>
          <w:color w:val="0070c0"/>
        </w:rPr>
        <w:t xml:space="preserve">18:00 14 апреля 2025 года</w:t>
      </w:r>
      <w:r>
        <w:rPr>
          <w:b/>
          <w:bCs/>
        </w:rPr>
        <w:t xml:space="preserve">. </w:t>
      </w:r>
      <w:r>
        <w:rPr>
          <w:bCs/>
        </w:rPr>
      </w:r>
    </w:p>
    <w:p>
      <w:pPr>
        <w:pStyle w:val="746"/>
        <w:ind w:firstLine="567"/>
        <w:jc w:val="both"/>
      </w:pPr>
      <w: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  <w:r/>
    </w:p>
    <w:p>
      <w:pPr>
        <w:pStyle w:val="746"/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понижения начальной цены </w:t>
      </w:r>
      <w:r>
        <w:rPr>
          <w:b/>
          <w:bCs/>
          <w:i/>
          <w:iCs/>
        </w:rPr>
        <w:t xml:space="preserve">(голландский аукцион</w:t>
      </w:r>
      <w:r>
        <w:rPr>
          <w:b/>
          <w:bCs/>
        </w:rPr>
        <w:t xml:space="preserve">).</w:t>
      </w:r>
      <w:r/>
    </w:p>
    <w:p>
      <w:pPr>
        <w:pStyle w:val="746"/>
        <w:ind w:firstLine="720"/>
        <w:jc w:val="both"/>
        <w:rPr>
          <w:rFonts w:eastAsia="Times New Roman"/>
        </w:rPr>
      </w:pPr>
      <w:r>
        <w:rPr>
          <w:rFonts w:eastAsia="Times New Roman"/>
        </w:rPr>
      </w:r>
      <w:r/>
      <w:bookmarkStart w:id="1" w:name="_Hlk518488158"/>
      <w:r/>
      <w:bookmarkEnd w:id="1"/>
      <w:r/>
      <w:r>
        <w:rPr>
          <w:rFonts w:eastAsia="Times New Roman"/>
        </w:rPr>
      </w:r>
    </w:p>
    <w:p>
      <w:pPr>
        <w:pStyle w:val="746"/>
        <w:ind w:firstLine="720"/>
        <w:jc w:val="both"/>
        <w:rPr>
          <w:rFonts w:eastAsia="Times New Roman"/>
        </w:rPr>
      </w:pPr>
      <w:r/>
      <w:bookmarkStart w:id="2" w:name="_Hlk518488158"/>
      <w:r/>
      <w:bookmarkEnd w:id="2"/>
      <w:r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тел. </w:t>
      </w:r>
      <w:r>
        <w:rPr>
          <w:color w:val="000000"/>
        </w:rPr>
        <w:t xml:space="preserve">+7 (967) 246-44-26, 8 (812) 777-57-57, доб 516</w:t>
      </w:r>
      <w:r>
        <w:rPr>
          <w:rFonts w:eastAsia="Times New Roman"/>
        </w:rPr>
        <w:t xml:space="preserve">. Контактное лицо</w:t>
      </w:r>
      <w:r>
        <w:rPr>
          <w:rFonts w:eastAsia="Times New Roman"/>
        </w:rPr>
        <w:t xml:space="preserve">: Макаренко Кристина.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10" w:tooltip="mailto:dv@auction-house.ru" w:history="1">
        <w:r>
          <w:rPr>
            <w:rStyle w:val="794"/>
            <w:rFonts w:eastAsia="Times New Roman"/>
            <w:lang w:val="en-US"/>
          </w:rPr>
          <w:t xml:space="preserve">dv</w:t>
        </w:r>
        <w:r>
          <w:rPr>
            <w:rStyle w:val="794"/>
            <w:rFonts w:eastAsia="Times New Roman"/>
          </w:rPr>
          <w:t xml:space="preserve">@auction-house.ru</w:t>
        </w:r>
      </w:hyperlink>
      <w:r>
        <w:rPr>
          <w:rFonts w:eastAsia="Times New Roman"/>
        </w:rPr>
        <w:t xml:space="preserve">.</w:t>
      </w:r>
      <w:r>
        <w:rPr>
          <w:rFonts w:eastAsia="Times New Roman"/>
        </w:rPr>
      </w:r>
    </w:p>
    <w:p>
      <w:pPr>
        <w:pStyle w:val="746"/>
        <w:ind w:firstLine="720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746"/>
        <w:ind w:right="-57" w:firstLine="0"/>
        <w:jc w:val="both"/>
      </w:pPr>
      <w:r>
        <w:rPr>
          <w:b/>
        </w:rPr>
        <w:t xml:space="preserve">Важно! Существуют ограничения по виду деятельности потенциальных арендаторов/субарендаторов. Исключена возможность заключения договорных отношений с организациями, занимающимися следующими направлениями:</w:t>
      </w:r>
      <w:r/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микрофинансовые организации;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секс-шопы;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точки по продаже табачных изделий;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точки по продаже алкогольной продукции;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кальянные;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вейп-шопы;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представители оккультных наук;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банкам и другим финансовым организациям;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  <w:t xml:space="preserve">- точкам оптовой и розничной торговли.</w:t>
      </w:r>
      <w:r>
        <w:rPr>
          <w:b/>
        </w:rPr>
      </w:r>
    </w:p>
    <w:p>
      <w:pPr>
        <w:pStyle w:val="746"/>
        <w:ind w:right="-57" w:firstLine="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46"/>
        <w:ind w:firstLine="720"/>
        <w:jc w:val="both"/>
        <w:rPr>
          <w:b/>
          <w:color w:val="0070c0"/>
        </w:rPr>
      </w:pPr>
      <w:r>
        <w:rPr>
          <w:b/>
          <w:color w:val="0070c0"/>
        </w:rPr>
        <w:t xml:space="preserve">Лот №1:</w:t>
      </w:r>
      <w:r>
        <w:rPr>
          <w:b/>
          <w:color w:val="0070c0"/>
        </w:rPr>
      </w:r>
    </w:p>
    <w:p>
      <w:pPr>
        <w:pStyle w:val="746"/>
        <w:ind w:firstLine="567"/>
        <w:jc w:val="both"/>
        <w:rPr>
          <w:bCs/>
        </w:rPr>
      </w:pPr>
      <w:r>
        <w:rPr>
          <w:bCs/>
        </w:rPr>
        <w:t xml:space="preserve">Аренда нежилого помещения, расположенного по адресу: </w:t>
      </w:r>
      <w:r>
        <w:rPr>
          <w:b/>
        </w:rPr>
        <w:t xml:space="preserve">Приморский край, г. Лесозаводск, ул. Калининская, 22</w:t>
      </w:r>
      <w:r>
        <w:rPr>
          <w:bCs/>
        </w:rPr>
        <w:t xml:space="preserve">, площадью </w:t>
      </w:r>
      <w:r>
        <w:rPr>
          <w:b/>
          <w:lang w:val="en-US"/>
        </w:rPr>
        <w:t xml:space="preserve">31</w:t>
      </w:r>
      <w:r>
        <w:rPr>
          <w:b/>
        </w:rPr>
        <w:t xml:space="preserve">,</w:t>
      </w:r>
      <w:r>
        <w:rPr>
          <w:b/>
          <w:lang w:val="en-US"/>
        </w:rPr>
        <w:t xml:space="preserve">5</w:t>
      </w:r>
      <w:r>
        <w:rPr>
          <w:b/>
        </w:rPr>
        <w:t xml:space="preserve"> кв. м</w:t>
      </w:r>
      <w:r>
        <w:rPr>
          <w:bCs/>
        </w:rPr>
        <w:t xml:space="preserve">, входящие в состав нежилых помещений площадью 63,1 кв. м с кадастров</w:t>
      </w:r>
      <w:r>
        <w:rPr>
          <w:bCs/>
        </w:rPr>
        <w:t xml:space="preserve">ым номером 25:30:020101:9797, этаж: подвал, принадлежащие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25-25/002-25/001/015/2016-3015/1 от 27.10.2016.</w:t>
      </w:r>
      <w:r>
        <w:rPr>
          <w:bCs/>
        </w:rPr>
      </w:r>
    </w:p>
    <w:p>
      <w:pPr>
        <w:pStyle w:val="746"/>
        <w:ind w:firstLine="567"/>
        <w:jc w:val="both"/>
        <w:rPr>
          <w:bCs/>
        </w:rPr>
      </w:pPr>
      <w:r>
        <w:rPr>
          <w:bCs/>
        </w:rPr>
        <w:t xml:space="preserve">В стоимость ежемесячной арендной платы не включены коммунальные расходы (водоснабжение, теплоснабжение, канализация и электроэнергия).</w:t>
      </w:r>
      <w:r>
        <w:rPr>
          <w:bCs/>
        </w:rPr>
      </w:r>
    </w:p>
    <w:p>
      <w:pPr>
        <w:pStyle w:val="746"/>
        <w:ind w:firstLine="567"/>
        <w:jc w:val="both"/>
        <w:rPr>
          <w:bCs/>
        </w:rPr>
      </w:pPr>
      <w:r>
        <w:rPr>
          <w:bCs/>
        </w:rPr>
        <w:t xml:space="preserve">Срок аренды: 60 (шестьдесят) месяцев с даты подписания Банком и Арендатором акта приема-передачи Объекта.</w:t>
      </w:r>
      <w:r>
        <w:rPr>
          <w:bCs/>
        </w:rPr>
      </w:r>
    </w:p>
    <w:p>
      <w:pPr>
        <w:pStyle w:val="746"/>
        <w:ind w:firstLine="567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46"/>
      </w:pPr>
      <w:r>
        <w:rPr>
          <w:b/>
          <w:bCs/>
        </w:rPr>
        <w:t xml:space="preserve">Начальная цена ежемесячного платежа: </w:t>
      </w:r>
      <w:r>
        <w:rPr>
          <w:b/>
          <w:bCs/>
          <w:color w:val="0070c0"/>
        </w:rPr>
        <w:t xml:space="preserve">8 240 </w:t>
      </w:r>
      <w:r>
        <w:t xml:space="preserve">(Восемь тысяч двести сорок)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40 коп, </w:t>
      </w:r>
      <w:r>
        <w:t xml:space="preserve">в том числе НДС 20%. </w:t>
      </w:r>
      <w:r/>
    </w:p>
    <w:p>
      <w:pPr>
        <w:pStyle w:val="746"/>
      </w:pPr>
      <w:r>
        <w:rPr>
          <w:b/>
          <w:bCs/>
        </w:rPr>
        <w:t xml:space="preserve">Минимальная цена ежемесячного платежа: </w:t>
      </w:r>
      <w:r>
        <w:rPr>
          <w:b/>
          <w:bCs/>
          <w:color w:val="0070c0"/>
        </w:rPr>
        <w:t xml:space="preserve">6 180 </w:t>
      </w:r>
      <w:r>
        <w:t xml:space="preserve">(Шесть тысяч сто восемьдесят)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30 коп, </w:t>
      </w:r>
      <w:r>
        <w:t xml:space="preserve">в том числе НДС 20%. </w:t>
      </w:r>
      <w:r/>
    </w:p>
    <w:p>
      <w:pPr>
        <w:pStyle w:val="746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70c0"/>
        </w:rPr>
        <w:t xml:space="preserve">6 180 </w:t>
      </w:r>
      <w:r>
        <w:t xml:space="preserve">(Шесть тысяч сто восемьдесят)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</w:t>
      </w:r>
      <w:r>
        <w:rPr>
          <w:b/>
          <w:bCs/>
        </w:rPr>
      </w:r>
    </w:p>
    <w:p>
      <w:pPr>
        <w:pStyle w:val="746"/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206 </w:t>
      </w:r>
      <w:r>
        <w:t xml:space="preserve">(Двести шесть)</w:t>
      </w:r>
      <w:r>
        <w:rPr>
          <w:b/>
          <w:bCs/>
          <w:color w:val="0070c0"/>
        </w:rPr>
        <w:t xml:space="preserve"> руб. 01 коп.</w:t>
      </w:r>
      <w:r/>
    </w:p>
    <w:p>
      <w:pPr>
        <w:pStyle w:val="746"/>
        <w:rPr>
          <w:b/>
          <w:bCs/>
          <w:color w:val="0070c0"/>
        </w:rPr>
      </w:pPr>
      <w:r>
        <w:rPr>
          <w:b/>
          <w:bCs/>
        </w:rPr>
        <w:t xml:space="preserve">Шаг аукциона на понижение: </w:t>
      </w:r>
      <w:r>
        <w:rPr>
          <w:b/>
          <w:bCs/>
          <w:color w:val="0070c0"/>
        </w:rPr>
        <w:t xml:space="preserve">206 </w:t>
      </w:r>
      <w:r>
        <w:t xml:space="preserve">(Двести шесть)</w:t>
      </w:r>
      <w:r>
        <w:rPr>
          <w:b/>
          <w:bCs/>
          <w:color w:val="0070c0"/>
        </w:rPr>
        <w:t xml:space="preserve"> руб. 01 коп.</w:t>
      </w:r>
      <w:r>
        <w:rPr>
          <w:b/>
          <w:bCs/>
          <w:color w:val="0070c0"/>
        </w:rPr>
      </w:r>
    </w:p>
    <w:p>
      <w:pPr>
        <w:pStyle w:val="746"/>
        <w:rPr>
          <w:b/>
          <w:bCs/>
          <w:color w:val="0070c0"/>
        </w:rPr>
      </w:pPr>
      <w:r>
        <w:rPr>
          <w:b/>
          <w:bCs/>
          <w:color w:val="0070c0"/>
        </w:rPr>
      </w:r>
      <w:r>
        <w:rPr>
          <w:b/>
          <w:bCs/>
          <w:color w:val="0070c0"/>
        </w:rPr>
      </w:r>
    </w:p>
    <w:p>
      <w:pPr>
        <w:pStyle w:val="746"/>
        <w:jc w:val="both"/>
        <w:rPr>
          <w:b/>
          <w:bCs/>
          <w:color w:val="0070c0"/>
        </w:rPr>
      </w:pPr>
      <w:r>
        <w:rPr>
          <w:b/>
          <w:bCs/>
          <w:color w:val="0070c0"/>
        </w:rPr>
      </w:r>
      <w:r>
        <w:rPr>
          <w:b/>
          <w:bCs/>
          <w:color w:val="0070c0"/>
        </w:rPr>
      </w:r>
    </w:p>
    <w:p>
      <w:pPr>
        <w:pStyle w:val="746"/>
        <w:ind w:firstLine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ОБЩИЕ ПОЛОЖЕНИЯ:</w:t>
      </w:r>
      <w:r>
        <w:rPr>
          <w:rFonts w:eastAsia="Times New Roman"/>
          <w:b/>
          <w:bCs/>
        </w:rPr>
      </w:r>
    </w:p>
    <w:p>
      <w:pPr>
        <w:pStyle w:val="746"/>
        <w:ind w:firstLine="567"/>
        <w:jc w:val="both"/>
      </w:pPr>
      <w:r>
        <w:t xml:space="preserve">Порядок взаимодействия между Организатором торгов, исполняющим функци</w:t>
      </w:r>
      <w:r>
        <w:t xml:space="preserve">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</w:t>
      </w:r>
      <w:r>
        <w:t xml:space="preserve">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1" w:tooltip="http://www.lot-online.ru/" w:history="1">
        <w:r>
          <w:rPr>
            <w:rStyle w:val="794"/>
          </w:rPr>
          <w:t xml:space="preserve">www.lot-online.ru</w:t>
        </w:r>
      </w:hyperlink>
      <w:r>
        <w:t xml:space="preserve"> (</w:t>
      </w:r>
      <w:hyperlink r:id="rId12" w:tooltip="https://catalog.lot-online.ru/images/docs/regulations/reglament_prod.pdf?_t=1666941793" w:history="1">
        <w:r>
          <w:rPr>
            <w:rStyle w:val="794"/>
          </w:rPr>
          <w:t xml:space="preserve">https://catalog.lot-online.ru/images/docs/regulations/reglament_prod.pdf?_t=1666941793</w:t>
        </w:r>
      </w:hyperlink>
      <w:r>
        <w:t xml:space="preserve">).</w:t>
      </w:r>
      <w:r/>
    </w:p>
    <w:p>
      <w:pPr>
        <w:pStyle w:val="746"/>
        <w:ind w:firstLine="72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746"/>
        <w:ind w:firstLine="567"/>
        <w:jc w:val="center"/>
        <w:rPr>
          <w:b/>
          <w:bCs/>
        </w:rPr>
      </w:pPr>
      <w:r>
        <w:rPr>
          <w:b/>
          <w:bCs/>
        </w:rPr>
        <w:t xml:space="preserve">Условия проведения аукциона</w:t>
      </w:r>
      <w:r>
        <w:rPr>
          <w:b/>
          <w:bCs/>
        </w:rPr>
      </w:r>
    </w:p>
    <w:p>
      <w:pPr>
        <w:pStyle w:val="746"/>
        <w:ind w:firstLine="567"/>
        <w:jc w:val="both"/>
      </w:pPr>
      <w:r>
        <w:t xml:space="preserve">К участию в аукционе, проводимом в электронной форме, допускаются физические и юр</w:t>
      </w:r>
      <w:r>
        <w:t xml:space="preserve">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</w:t>
      </w:r>
      <w:r>
        <w:t xml:space="preserve">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  <w:r/>
    </w:p>
    <w:p>
      <w:pPr>
        <w:pStyle w:val="746"/>
        <w:ind w:right="-5" w:firstLine="567"/>
        <w:jc w:val="both"/>
        <w:tabs>
          <w:tab w:val="clear" w:pos="708" w:leader="none"/>
          <w:tab w:val="right" w:pos="4762" w:leader="dot"/>
        </w:tabs>
        <w:rPr>
          <w:rFonts w:ascii="NewsGothic_A.Z_PS;Courier New" w:hAnsi="NewsGothic_A.Z_PS;Courier New" w:cs="NewsGothic_A.Z_PS;Courier New"/>
          <w:sz w:val="20"/>
          <w:szCs w:val="20"/>
        </w:rPr>
      </w:pPr>
      <w:r>
        <w:t xml:space="preserve">Принять участие в аукционе может любое юр</w:t>
      </w:r>
      <w:r>
        <w:t xml:space="preserve">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  <w:r>
        <w:rPr>
          <w:rFonts w:ascii="NewsGothic_A.Z_PS;Courier New" w:hAnsi="NewsGothic_A.Z_PS;Courier New" w:cs="NewsGothic_A.Z_PS;Courier New"/>
          <w:sz w:val="20"/>
          <w:szCs w:val="20"/>
        </w:rPr>
      </w:r>
    </w:p>
    <w:p>
      <w:pPr>
        <w:pStyle w:val="746"/>
        <w:ind w:firstLine="567"/>
        <w:jc w:val="both"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  <w:r/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>
        <w:t xml:space="preserve">К участию в торгах не допускаются лица, указанные:</w:t>
      </w:r>
      <w:r/>
    </w:p>
    <w:p>
      <w:pPr>
        <w:pStyle w:val="746"/>
        <w:jc w:val="both"/>
      </w:pPr>
      <w:r>
        <w:t xml:space="preserve">-  в Указе Прези</w:t>
      </w:r>
      <w:r>
        <w:t xml:space="preserve">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</w:t>
      </w:r>
      <w:r>
        <w:t xml:space="preserve">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</w:t>
      </w:r>
      <w:r>
        <w:t xml:space="preserve">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  <w:r/>
    </w:p>
    <w:p>
      <w:pPr>
        <w:pStyle w:val="746"/>
        <w:jc w:val="both"/>
      </w:pPr>
      <w:r>
        <w:t xml:space="preserve"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>
        <w:rPr>
          <w:rStyle w:val="799"/>
        </w:rPr>
        <w:footnoteReference w:id="2"/>
      </w:r>
      <w:r>
        <w:t xml:space="preserve">,  утвержденным Постановлением Правительства РФ</w:t>
      </w:r>
      <w:r>
        <w:rPr>
          <w:color w:val="ff0000"/>
        </w:rPr>
        <w:t xml:space="preserve"> </w:t>
      </w:r>
      <w:r>
        <w:t xml:space="preserve">от 11.05.2022 № 851 «О мерах по реализации Указа Президента Российской  Федерации от 3 мая 2022 г. № 252». </w:t>
      </w:r>
      <w:r/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/>
      <w:r/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  <w:r/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 w:tooltip="consultantplus://offline/main?base=LAW;n=72518;fld=134" w:history="1">
        <w:r>
          <w:rPr>
            <w:rStyle w:val="794"/>
          </w:rPr>
          <w:t xml:space="preserve">электронной подписью</w:t>
        </w:r>
      </w:hyperlink>
      <w:r>
        <w:t xml:space="preserve"> Претендента документы.</w:t>
      </w:r>
      <w:r/>
    </w:p>
    <w:p>
      <w:pPr>
        <w:pStyle w:val="746"/>
        <w:ind w:firstLine="567"/>
      </w:pPr>
      <w:r/>
      <w:r/>
    </w:p>
    <w:p>
      <w:pPr>
        <w:pStyle w:val="746"/>
        <w:ind w:left="567" w:firstLine="0"/>
        <w:jc w:val="both"/>
        <w:rPr>
          <w:b/>
          <w:bCs/>
        </w:rPr>
      </w:pPr>
      <w:r>
        <w:rPr>
          <w:b/>
          <w:bCs/>
        </w:rPr>
        <w:t xml:space="preserve">Документы, необходимые для участия в аукционе в электронной форме:</w:t>
      </w:r>
      <w:r>
        <w:rPr>
          <w:b/>
          <w:bCs/>
        </w:rPr>
      </w:r>
    </w:p>
    <w:p>
      <w:pPr>
        <w:pStyle w:val="746"/>
        <w:numPr>
          <w:ilvl w:val="0"/>
          <w:numId w:val="3"/>
        </w:numPr>
        <w:ind w:left="567" w:hanging="567"/>
        <w:jc w:val="both"/>
      </w:pPr>
      <w:r>
        <w:t xml:space="preserve">Заявка на участие в аукционе, проводимом в электронной форме.</w:t>
      </w:r>
      <w:r/>
    </w:p>
    <w:p>
      <w:pPr>
        <w:pStyle w:val="746"/>
        <w:ind w:left="567" w:firstLine="0"/>
        <w:jc w:val="both"/>
      </w:pPr>
      <w:r>
        <w:t xml:space="preserve"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  <w:r/>
    </w:p>
    <w:p>
      <w:pPr>
        <w:pStyle w:val="746"/>
        <w:numPr>
          <w:ilvl w:val="0"/>
          <w:numId w:val="3"/>
        </w:numPr>
        <w:ind w:left="567" w:hanging="567"/>
        <w:jc w:val="both"/>
      </w:pPr>
      <w:r>
        <w:t xml:space="preserve">Одновременно к заявке претенденты прилагают подписанные электронной цифровой подписью документы:</w:t>
      </w:r>
      <w:r/>
    </w:p>
    <w:p>
      <w:pPr>
        <w:pStyle w:val="746"/>
        <w:numPr>
          <w:ilvl w:val="1"/>
          <w:numId w:val="3"/>
        </w:numPr>
        <w:ind w:left="567" w:hanging="567"/>
        <w:jc w:val="both"/>
        <w:rPr>
          <w:b/>
        </w:rPr>
      </w:pPr>
      <w:r>
        <w:rPr>
          <w:b/>
        </w:rPr>
        <w:t xml:space="preserve">Физические лица:</w:t>
      </w:r>
      <w:r>
        <w:rPr>
          <w:b/>
        </w:rPr>
      </w:r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Копии всех листов документа, удостоверяющего личность;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заполненные заверения контрагента по установленной форме (Приложение 1).</w:t>
      </w:r>
      <w:r/>
    </w:p>
    <w:p>
      <w:pPr>
        <w:pStyle w:val="746"/>
        <w:ind w:left="567" w:firstLine="0"/>
        <w:jc w:val="both"/>
      </w:pPr>
      <w:r/>
      <w:r/>
    </w:p>
    <w:p>
      <w:pPr>
        <w:pStyle w:val="746"/>
        <w:numPr>
          <w:ilvl w:val="1"/>
          <w:numId w:val="3"/>
        </w:numPr>
        <w:ind w:left="567" w:hanging="567"/>
        <w:jc w:val="both"/>
        <w:spacing w:line="210" w:lineRule="atLeast"/>
        <w:rPr>
          <w:b/>
        </w:rPr>
      </w:pPr>
      <w:r>
        <w:rPr>
          <w:b/>
        </w:rPr>
        <w:t xml:space="preserve">Индивидуальные предприниматели: </w:t>
      </w:r>
      <w:r>
        <w:rPr>
          <w:b/>
        </w:rPr>
      </w:r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Копии всех листов документа, удостоверяющего личность;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Свидетельство о постановке на учет в налоговом органе;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заполненные заверения контрагента по установленной форме (Приложение 1).</w:t>
      </w:r>
      <w:r/>
    </w:p>
    <w:p>
      <w:pPr>
        <w:pStyle w:val="746"/>
        <w:ind w:left="567" w:firstLine="0"/>
        <w:jc w:val="both"/>
      </w:pPr>
      <w:r/>
      <w:r/>
    </w:p>
    <w:p>
      <w:pPr>
        <w:pStyle w:val="746"/>
        <w:numPr>
          <w:ilvl w:val="1"/>
          <w:numId w:val="3"/>
        </w:numPr>
        <w:ind w:left="567" w:hanging="567"/>
        <w:jc w:val="both"/>
        <w:rPr>
          <w:b/>
        </w:rPr>
      </w:pPr>
      <w:r>
        <w:rPr>
          <w:b/>
        </w:rPr>
        <w:t xml:space="preserve">Российские юридические лица:</w:t>
      </w:r>
      <w:r>
        <w:rPr>
          <w:b/>
        </w:rPr>
      </w:r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Свидетельство о постановке на учет в налоговом органе;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Учредительные документы в действующей редакции;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Документы, подтверждающие полномочия рук</w:t>
      </w:r>
      <w:r>
        <w:t xml:space="preserve">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Действительную на день представления заявки на участия в аукционе выписку из Единого государственного реестра юридических лиц;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Решение об одобрении или совершении сделки или письмо об отсутствии необходимости такого одобрения, получения согласия на ее совершение;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/>
      <w:bookmarkStart w:id="3" w:name="_Hlk97896297"/>
      <w:r/>
      <w:r/>
      <w:bookmarkEnd w:id="3"/>
      <w:r>
        <w:t xml:space="preserve">вып</w:t>
      </w:r>
      <w:r>
        <w:t xml:space="preserve">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выписки из ЕГРЮЛ или выписки из реестра акци</w:t>
      </w:r>
      <w:r>
        <w:t xml:space="preserve">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/>
      <w:bookmarkStart w:id="5" w:name="_Hlk97896510"/>
      <w:r>
        <w:t xml:space="preserve">заполненные заверения контрагента по установленной форме (Приложение 1).</w:t>
      </w:r>
      <w:bookmarkEnd w:id="5"/>
      <w:r/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заполненную анкету    по установленной форме (Приложение 2).</w:t>
      </w:r>
      <w:r/>
    </w:p>
    <w:p>
      <w:pPr>
        <w:pStyle w:val="746"/>
        <w:numPr>
          <w:ilvl w:val="1"/>
          <w:numId w:val="3"/>
        </w:numPr>
        <w:ind w:left="567" w:hanging="567"/>
        <w:jc w:val="both"/>
        <w:rPr>
          <w:b/>
        </w:rPr>
      </w:pPr>
      <w:r/>
      <w:bookmarkStart w:id="6" w:name="_Hlk97896297"/>
      <w:r/>
      <w:bookmarkEnd w:id="6"/>
      <w:r>
        <w:rPr>
          <w:b/>
        </w:rPr>
        <w:t xml:space="preserve">Иностранные юридические лица:</w:t>
      </w:r>
      <w:r>
        <w:rPr>
          <w:b/>
        </w:rPr>
      </w:r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Устав (Меморандум) и/или учредительный договор;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Сертификат (свидетельство) о регистрации (инкорпорации);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Сертификат (свидетельство) о директорах и решение о назначении директора(-ов);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Сертификат на акции (иной аналогичный документ);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Сертификат должного состояния (good standing) не старше 30 дней;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Решение об одобрении или совершении сделки или письмо об отсутствии необходимости такого одобрения, получения согласия на ее совершение.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вып</w:t>
      </w:r>
      <w:r>
        <w:t xml:space="preserve">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выписки из ЕГРЮЛ или выписки из реестра акци</w:t>
      </w:r>
      <w:r>
        <w:t xml:space="preserve">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заполненные заверения контрагента по установленной форме (Приложение 1).</w:t>
      </w:r>
      <w:r/>
    </w:p>
    <w:p>
      <w:pPr>
        <w:pStyle w:val="746"/>
        <w:numPr>
          <w:ilvl w:val="0"/>
          <w:numId w:val="6"/>
        </w:numPr>
        <w:ind w:left="567" w:hanging="567"/>
        <w:jc w:val="both"/>
      </w:pPr>
      <w:r>
        <w:t xml:space="preserve">заполненную анкету по установленной форме (Приложение 2).</w:t>
      </w:r>
      <w:r/>
    </w:p>
    <w:p>
      <w:pPr>
        <w:pStyle w:val="746"/>
        <w:ind w:firstLine="567"/>
        <w:jc w:val="both"/>
      </w:pPr>
      <w:r/>
      <w:r/>
    </w:p>
    <w:p>
      <w:pPr>
        <w:pStyle w:val="746"/>
        <w:ind w:firstLine="567"/>
        <w:jc w:val="both"/>
      </w:pPr>
      <w: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/>
    </w:p>
    <w:p>
      <w:pPr>
        <w:pStyle w:val="746"/>
        <w:ind w:firstLine="567"/>
        <w:jc w:val="both"/>
      </w:pPr>
      <w:r>
        <w:t xml:space="preserve">Заявки, поступивш</w:t>
      </w:r>
      <w:r>
        <w:t xml:space="preserve">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  <w:r/>
    </w:p>
    <w:p>
      <w:pPr>
        <w:pStyle w:val="746"/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</w:t>
      </w:r>
      <w:r>
        <w:t xml:space="preserve">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  <w:r/>
    </w:p>
    <w:p>
      <w:pPr>
        <w:pStyle w:val="746"/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  <w:r/>
    </w:p>
    <w:p>
      <w:pPr>
        <w:pStyle w:val="810"/>
        <w:ind w:right="-29" w:firstLine="567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10"/>
        <w:ind w:right="-29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10"/>
        <w:ind w:right="-29" w:firstLine="567"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13 апреля 2025 г. до 09.00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МСК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Задаток считается внесенным с даты поступления всей суммы Задатка на указанный счет.</w:t>
      </w:r>
      <w:r/>
    </w:p>
    <w:p>
      <w:pPr>
        <w:pStyle w:val="810"/>
        <w:ind w:right="-29" w:firstLine="567"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r/>
    </w:p>
    <w:p>
      <w:pPr>
        <w:pStyle w:val="746"/>
        <w:ind w:right="72" w:firstLine="567"/>
        <w:jc w:val="both"/>
      </w:pPr>
      <w:r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tooltip="http://www.lot-online.ru/" w:history="1">
        <w:r>
          <w:rPr>
            <w:rStyle w:val="794"/>
            <w:rFonts w:eastAsia="Times New Roman"/>
            <w:color w:val="0000ff"/>
            <w:u w:val="single"/>
            <w:lang w:val="en-US"/>
          </w:rPr>
          <w:t xml:space="preserve">www</w:t>
        </w:r>
        <w:r>
          <w:rPr>
            <w:rStyle w:val="794"/>
            <w:rFonts w:eastAsia="Times New Roman"/>
            <w:color w:val="0000ff"/>
            <w:u w:val="single"/>
          </w:rPr>
          <w:t xml:space="preserve">.</w:t>
        </w:r>
        <w:r>
          <w:rPr>
            <w:rStyle w:val="794"/>
            <w:rFonts w:eastAsia="Times New Roman"/>
            <w:color w:val="0000ff"/>
            <w:u w:val="single"/>
            <w:lang w:val="en-US"/>
          </w:rPr>
          <w:t xml:space="preserve">lot</w:t>
        </w:r>
        <w:r>
          <w:rPr>
            <w:rStyle w:val="794"/>
            <w:rFonts w:eastAsia="Times New Roman"/>
            <w:color w:val="0000ff"/>
            <w:u w:val="single"/>
          </w:rPr>
          <w:t xml:space="preserve">-</w:t>
        </w:r>
        <w:r>
          <w:rPr>
            <w:rStyle w:val="794"/>
            <w:rFonts w:eastAsia="Times New Roman"/>
            <w:color w:val="0000ff"/>
            <w:u w:val="single"/>
            <w:lang w:val="en-US"/>
          </w:rPr>
          <w:t xml:space="preserve">online</w:t>
        </w:r>
        <w:r>
          <w:rPr>
            <w:rStyle w:val="794"/>
            <w:rFonts w:eastAsia="Times New Roman"/>
            <w:color w:val="0000ff"/>
            <w:u w:val="single"/>
          </w:rPr>
          <w:t xml:space="preserve">.</w:t>
        </w:r>
        <w:r>
          <w:rPr>
            <w:rStyle w:val="794"/>
            <w:rFonts w:eastAsia="Times New Roman"/>
            <w:color w:val="0000ff"/>
            <w:u w:val="single"/>
            <w:lang w:val="en-US"/>
          </w:rPr>
          <w:t xml:space="preserve">ru</w:t>
        </w:r>
      </w:hyperlink>
      <w:r>
        <w:rPr>
          <w:rFonts w:eastAsia="Times New Roman"/>
        </w:rPr>
        <w:t xml:space="preserve"> в разделе «карточка лота». </w:t>
      </w:r>
      <w:r/>
    </w:p>
    <w:p>
      <w:pPr>
        <w:pStyle w:val="746"/>
        <w:ind w:right="72" w:firstLine="567"/>
        <w:jc w:val="both"/>
      </w:pPr>
      <w:r>
        <w:t xml:space="preserve">У</w:t>
      </w:r>
      <w:r>
        <w:t xml:space="preserve">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  <w:r/>
    </w:p>
    <w:p>
      <w:pPr>
        <w:pStyle w:val="746"/>
        <w:ind w:firstLine="567"/>
        <w:jc w:val="both"/>
      </w:pPr>
      <w:r>
        <w:t xml:space="preserve">Задаток перечисляется непосредственно стороной по договору о задатке (договору присоединения).</w:t>
      </w:r>
      <w:r/>
    </w:p>
    <w:p>
      <w:pPr>
        <w:pStyle w:val="746"/>
        <w:ind w:firstLine="567"/>
        <w:jc w:val="both"/>
      </w:pPr>
      <w:r>
        <w:t xml:space="preserve">Задаток служит обеспечением исполнения обязательств Претендента по заключению по итогам торгов </w:t>
      </w:r>
      <w:r>
        <w:t xml:space="preserve">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  <w:r/>
    </w:p>
    <w:p>
      <w:pPr>
        <w:pStyle w:val="746"/>
        <w:ind w:firstLine="567"/>
        <w:jc w:val="both"/>
      </w:pPr>
      <w: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</w:t>
      </w:r>
      <w:r>
        <w:t xml:space="preserve">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  <w:r/>
    </w:p>
    <w:p>
      <w:pPr>
        <w:pStyle w:val="746"/>
        <w:numPr>
          <w:ilvl w:val="0"/>
          <w:numId w:val="0"/>
        </w:numPr>
        <w:ind w:firstLine="567"/>
        <w:jc w:val="both"/>
        <w:rPr>
          <w:rStyle w:val="794"/>
        </w:rPr>
        <w:outlineLvl w:val="1"/>
      </w:pPr>
      <w: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</w:t>
      </w:r>
      <w:r>
        <w:t xml:space="preserve">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5" w:tooltip="https://catalog.lot-online.ru/images/docs/regulations/reglament_zadatok_bkr.pdf?_t=1658847783" w:history="1">
        <w:r>
          <w:rPr>
            <w:rStyle w:val="794"/>
          </w:rPr>
          <w:t xml:space="preserve">https://catalog.lot-online.ru/images/docs/regulations/reglament_zadatok_bkr.pdf?_t=1658847783</w:t>
        </w:r>
      </w:hyperlink>
      <w:r>
        <w:t xml:space="preserve">) </w:t>
      </w:r>
      <w:r>
        <w:rPr>
          <w:rStyle w:val="794"/>
        </w:rPr>
      </w:r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>
        <w:t xml:space="preserve">Для участия в аукционе (на каждый лот) претендент может подать только одну заявку.</w:t>
      </w:r>
      <w:r/>
    </w:p>
    <w:p>
      <w:pPr>
        <w:pStyle w:val="746"/>
        <w:numPr>
          <w:ilvl w:val="0"/>
          <w:numId w:val="0"/>
        </w:numPr>
        <w:ind w:firstLine="567"/>
        <w:jc w:val="both"/>
        <w:widowControl w:val="off"/>
        <w:outlineLvl w:val="1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</w:t>
      </w:r>
      <w:r>
        <w:t xml:space="preserve">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  <w:r/>
    </w:p>
    <w:p>
      <w:pPr>
        <w:pStyle w:val="81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</w:r>
    </w:p>
    <w:p>
      <w:pPr>
        <w:pStyle w:val="746"/>
        <w:rPr>
          <w:rFonts w:ascii="Times New Roman" w:hAnsi="Times New Roman" w:cs="Times New Roman"/>
          <w:lang w:eastAsia="en-US"/>
        </w:rPr>
      </w:pPr>
      <w:r>
        <w:rPr>
          <w:rFonts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bCs/>
          <w:u w:val="single"/>
        </w:rPr>
        <w:t xml:space="preserve">с </w:t>
      </w:r>
      <w:r>
        <w:rPr>
          <w:b/>
          <w:bCs/>
          <w:color w:val="0070c0"/>
          <w:u w:val="single"/>
        </w:rPr>
        <w:t xml:space="preserve">12 марта 2025</w:t>
      </w:r>
      <w:r>
        <w:rPr>
          <w:b/>
          <w:bCs/>
          <w:u w:val="single"/>
        </w:rPr>
        <w:t xml:space="preserve"> года</w:t>
      </w:r>
      <w:r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  <w:r/>
    </w:p>
    <w:p>
      <w:pPr>
        <w:pStyle w:val="746"/>
        <w:ind w:right="72" w:firstLine="567"/>
        <w:jc w:val="both"/>
        <w:rPr>
          <w:b/>
          <w:bCs/>
        </w:rPr>
      </w:pPr>
      <w:r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tooltip="http://www.auction-house.ru/" w:history="1">
        <w:r>
          <w:rPr>
            <w:rStyle w:val="794"/>
            <w:b/>
            <w:bCs/>
            <w:u w:val="single"/>
            <w:lang w:val="en-US"/>
          </w:rPr>
          <w:t xml:space="preserve">www</w:t>
        </w:r>
        <w:r>
          <w:rPr>
            <w:rStyle w:val="794"/>
            <w:b/>
            <w:bCs/>
            <w:u w:val="single"/>
          </w:rPr>
          <w:t xml:space="preserve">.</w:t>
        </w:r>
        <w:r>
          <w:rPr>
            <w:rStyle w:val="794"/>
            <w:b/>
            <w:bCs/>
            <w:u w:val="single"/>
            <w:lang w:val="en-US"/>
          </w:rPr>
          <w:t xml:space="preserve">auction</w:t>
        </w:r>
        <w:r>
          <w:rPr>
            <w:rStyle w:val="794"/>
            <w:b/>
            <w:bCs/>
            <w:u w:val="single"/>
          </w:rPr>
          <w:t xml:space="preserve">-</w:t>
        </w:r>
        <w:r>
          <w:rPr>
            <w:rStyle w:val="794"/>
            <w:b/>
            <w:bCs/>
            <w:u w:val="single"/>
            <w:lang w:val="en-US"/>
          </w:rPr>
          <w:t xml:space="preserve">house</w:t>
        </w:r>
        <w:r>
          <w:rPr>
            <w:rStyle w:val="794"/>
            <w:b/>
            <w:bCs/>
            <w:u w:val="single"/>
          </w:rPr>
          <w:t xml:space="preserve">.</w:t>
        </w:r>
        <w:r>
          <w:rPr>
            <w:rStyle w:val="794"/>
            <w:b/>
            <w:bCs/>
            <w:u w:val="single"/>
            <w:lang w:val="en-US"/>
          </w:rPr>
          <w:t xml:space="preserve">ru</w:t>
        </w:r>
      </w:hyperlink>
      <w:r>
        <w:rPr>
          <w:b/>
          <w:bCs/>
        </w:rPr>
        <w:t xml:space="preserve">, на официальном интернет-сайте электронной торговой площадки: «www.lot-online.ru».</w:t>
      </w:r>
      <w:r>
        <w:rPr>
          <w:b/>
          <w:bCs/>
        </w:rPr>
      </w:r>
    </w:p>
    <w:p>
      <w:pPr>
        <w:pStyle w:val="746"/>
        <w:ind w:right="72"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ind w:firstLine="567"/>
        <w:jc w:val="both"/>
      </w:pPr>
      <w:r>
        <w:t xml:space="preserve">Претендент приобретает статус Участника аукциона с момента подписания протокола об определении участников аукциона в электронной форме.</w:t>
      </w:r>
      <w:r/>
    </w:p>
    <w:p>
      <w:pPr>
        <w:pStyle w:val="746"/>
        <w:ind w:firstLine="567"/>
        <w:jc w:val="both"/>
      </w:pPr>
      <w:r>
        <w:t xml:space="preserve">К участию в торгах допускаются Претенденты, представившие заявки на участие в</w:t>
      </w:r>
      <w:r>
        <w:t xml:space="preserve">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  <w:r/>
    </w:p>
    <w:p>
      <w:pPr>
        <w:pStyle w:val="746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</w:r>
    </w:p>
    <w:p>
      <w:pPr>
        <w:pStyle w:val="746"/>
        <w:ind w:firstLine="567"/>
        <w:jc w:val="both"/>
        <w:rPr>
          <w:b/>
        </w:rPr>
      </w:pPr>
      <w:r>
        <w:rPr>
          <w:b/>
        </w:rPr>
        <w:t xml:space="preserve">Организатор отказывает в допуске Претенденту к участию в аукционе если:</w:t>
      </w:r>
      <w:r>
        <w:rPr>
          <w:b/>
        </w:rPr>
      </w:r>
    </w:p>
    <w:p>
      <w:pPr>
        <w:pStyle w:val="746"/>
        <w:numPr>
          <w:ilvl w:val="0"/>
          <w:numId w:val="2"/>
        </w:numPr>
        <w:ind w:left="567" w:hanging="567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сообщение;</w:t>
      </w:r>
      <w:r/>
    </w:p>
    <w:p>
      <w:pPr>
        <w:pStyle w:val="746"/>
        <w:numPr>
          <w:ilvl w:val="0"/>
          <w:numId w:val="2"/>
        </w:numPr>
        <w:ind w:left="567" w:hanging="567"/>
        <w:jc w:val="both"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недостоверны.</w:t>
      </w:r>
      <w:r/>
    </w:p>
    <w:p>
      <w:pPr>
        <w:pStyle w:val="746"/>
        <w:numPr>
          <w:ilvl w:val="0"/>
          <w:numId w:val="2"/>
        </w:numPr>
        <w:ind w:left="567" w:hanging="567"/>
        <w:jc w:val="both"/>
      </w:pPr>
      <w:r>
        <w:t xml:space="preserve">поступление задатка на счета, указанные в сообщении о проведении торгов, не подтверждено на дату определения Участников торгов.</w:t>
      </w:r>
      <w:r/>
    </w:p>
    <w:p>
      <w:pPr>
        <w:pStyle w:val="746"/>
        <w:numPr>
          <w:ilvl w:val="0"/>
          <w:numId w:val="0"/>
        </w:numPr>
        <w:ind w:firstLine="567"/>
        <w:jc w:val="both"/>
        <w:outlineLvl w:val="1"/>
      </w:pPr>
      <w:r>
        <w:t xml:space="preserve">Не позднее 1 (одного) рабочего дня до даты </w:t>
      </w:r>
      <w:r>
        <w:t xml:space="preserve">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/>
    </w:p>
    <w:p>
      <w:pPr>
        <w:pStyle w:val="810"/>
        <w:ind w:right="-1" w:firstLine="567"/>
        <w:spacing w:line="220" w:lineRule="atLeast"/>
        <w:widowControl w:val="off"/>
      </w:pPr>
      <w:r>
        <w:rPr>
          <w:rFonts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вправе отказаться от проведения торгов не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/>
    </w:p>
    <w:p>
      <w:pPr>
        <w:pStyle w:val="810"/>
        <w:ind w:right="-1" w:firstLine="567"/>
        <w:spacing w:line="220" w:lineRule="atLeast"/>
        <w:widowControl w:val="o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746"/>
        <w:ind w:firstLine="567"/>
        <w:jc w:val="both"/>
        <w:rPr>
          <w:b/>
          <w:bCs/>
        </w:rPr>
      </w:pPr>
      <w:r>
        <w:rPr>
          <w:b/>
          <w:bCs/>
        </w:rPr>
        <w:t xml:space="preserve">Порядок проведения электронного аукциона и оформление его результатов.</w:t>
      </w:r>
      <w:r>
        <w:rPr>
          <w:b/>
          <w:bCs/>
        </w:rPr>
      </w:r>
    </w:p>
    <w:p>
      <w:pPr>
        <w:pStyle w:val="810"/>
        <w:ind w:right="-1" w:firstLine="567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«www.lot-online.ru»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46"/>
        <w:ind w:firstLine="567"/>
        <w:jc w:val="both"/>
      </w:pPr>
      <w:r>
        <w:t xml:space="preserve">Электронный аукцион проводится на электронной площадке в день и время, указанные в сообщении о проведении открытых торгов.</w:t>
      </w:r>
      <w:r/>
    </w:p>
    <w:p>
      <w:pPr>
        <w:pStyle w:val="746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  <w:r/>
    </w:p>
    <w:p>
      <w:pPr>
        <w:pStyle w:val="746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>
        <w:rPr>
          <w:b/>
          <w:bCs/>
        </w:rPr>
        <w:t xml:space="preserve">десять минут</w:t>
      </w:r>
      <w:r>
        <w:t xml:space="preserve">. </w:t>
      </w:r>
      <w:r/>
    </w:p>
    <w:p>
      <w:pPr>
        <w:pStyle w:val="746"/>
        <w:ind w:firstLine="567"/>
        <w:jc w:val="both"/>
      </w:pPr>
      <w:r>
        <w:t xml:space="preserve"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  <w:r/>
    </w:p>
    <w:p>
      <w:pPr>
        <w:pStyle w:val="746"/>
        <w:ind w:firstLine="567"/>
        <w:jc w:val="both"/>
      </w:pPr>
      <w:r>
        <w:t xml:space="preserve"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  <w:r/>
    </w:p>
    <w:p>
      <w:pPr>
        <w:pStyle w:val="746"/>
        <w:ind w:firstLine="567"/>
        <w:jc w:val="both"/>
      </w:pPr>
      <w:r>
        <w:t xml:space="preserve"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  <w:r/>
    </w:p>
    <w:p>
      <w:pPr>
        <w:pStyle w:val="746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  <w:r/>
    </w:p>
    <w:p>
      <w:pPr>
        <w:pStyle w:val="746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>
        <w:rPr>
          <w:b/>
          <w:bCs/>
        </w:rPr>
        <w:t xml:space="preserve">десяти</w:t>
      </w:r>
      <w:r>
        <w:t xml:space="preserve"> минут и любой из Участников может повысить цену на «шаг аукциона на повышение». </w:t>
      </w:r>
      <w:r/>
    </w:p>
    <w:p>
      <w:pPr>
        <w:pStyle w:val="746"/>
        <w:ind w:firstLine="567"/>
        <w:jc w:val="both"/>
      </w:pPr>
      <w:r>
        <w:rPr>
          <w:b/>
        </w:rPr>
        <w:t xml:space="preserve">Победителем аукциона признается Участник торгов, предложивший наиболее высокую цену.</w:t>
      </w:r>
      <w:r/>
    </w:p>
    <w:p>
      <w:pPr>
        <w:pStyle w:val="746"/>
        <w:ind w:firstLine="567"/>
        <w:jc w:val="both"/>
      </w:pPr>
      <w:r>
        <w:t xml:space="preserve">По завершении аукциона при помощи программных средств электронной площадки формируется протокол о результатах аукциона.</w:t>
      </w:r>
      <w:r/>
    </w:p>
    <w:p>
      <w:pPr>
        <w:pStyle w:val="746"/>
        <w:ind w:firstLine="567"/>
        <w:jc w:val="both"/>
      </w:pPr>
      <w:r>
        <w:t xml:space="preserve">Протокол о результатах аукциона подписывается Организатором электронного аукциона в день проведения электронного аукциона.</w:t>
      </w:r>
      <w:r/>
    </w:p>
    <w:p>
      <w:pPr>
        <w:pStyle w:val="746"/>
        <w:ind w:firstLine="567"/>
        <w:jc w:val="both"/>
      </w:pPr>
      <w:r>
        <w:t xml:space="preserve">Процедура электронного аукциона считается завершенной с момента подписания Организатором торгов протокола об итогах аукциона.</w:t>
      </w:r>
      <w:r/>
    </w:p>
    <w:p>
      <w:pPr>
        <w:pStyle w:val="746"/>
        <w:numPr>
          <w:ilvl w:val="0"/>
          <w:numId w:val="0"/>
        </w:numPr>
        <w:ind w:firstLine="720"/>
        <w:jc w:val="both"/>
        <w:rPr>
          <w:b/>
          <w:bCs/>
          <w:lang w:val="en-US"/>
        </w:rPr>
        <w:outlineLvl w:val="1"/>
      </w:pP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746"/>
        <w:numPr>
          <w:ilvl w:val="0"/>
          <w:numId w:val="0"/>
        </w:numPr>
        <w:ind w:firstLine="567"/>
        <w:jc w:val="both"/>
        <w:rPr>
          <w:b/>
          <w:bCs/>
        </w:rPr>
        <w:outlineLvl w:val="1"/>
      </w:pPr>
      <w:r>
        <w:rPr>
          <w:b/>
          <w:bCs/>
        </w:rPr>
        <w:t xml:space="preserve">Электронный аукцион признается несостоявшимся в следующих случаях: </w:t>
      </w:r>
      <w:r>
        <w:rPr>
          <w:b/>
          <w:bCs/>
        </w:rPr>
      </w:r>
    </w:p>
    <w:p>
      <w:pPr>
        <w:pStyle w:val="746"/>
        <w:numPr>
          <w:ilvl w:val="0"/>
          <w:numId w:val="5"/>
        </w:numPr>
        <w:ind w:left="567" w:hanging="567"/>
        <w:jc w:val="both"/>
        <w:outlineLvl w:val="1"/>
      </w:pPr>
      <w:r>
        <w:t xml:space="preserve">не было подано ни одной заявки на участие в аукционе либо ни один из Претендентов не признан Участником аукциона;</w:t>
      </w:r>
      <w:r/>
    </w:p>
    <w:p>
      <w:pPr>
        <w:pStyle w:val="746"/>
        <w:numPr>
          <w:ilvl w:val="0"/>
          <w:numId w:val="5"/>
        </w:numPr>
        <w:ind w:left="567" w:hanging="567"/>
        <w:jc w:val="both"/>
        <w:outlineLvl w:val="1"/>
      </w:pPr>
      <w:r>
        <w:t xml:space="preserve">к участию в аукционе допущен только один Претендент;</w:t>
      </w:r>
      <w:r/>
    </w:p>
    <w:p>
      <w:pPr>
        <w:pStyle w:val="746"/>
        <w:numPr>
          <w:ilvl w:val="0"/>
          <w:numId w:val="5"/>
        </w:numPr>
        <w:ind w:left="567" w:hanging="567"/>
        <w:jc w:val="both"/>
        <w:outlineLvl w:val="1"/>
      </w:pPr>
      <w:r>
        <w:t xml:space="preserve">ни один из Участников аукциона не сделал предложения по начальной цене имущества.</w:t>
      </w:r>
      <w:r/>
    </w:p>
    <w:p>
      <w:pPr>
        <w:pStyle w:val="746"/>
        <w:ind w:firstLine="709"/>
        <w:jc w:val="both"/>
      </w:pPr>
      <w:r>
        <w:t xml:space="preserve"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  <w:r/>
    </w:p>
    <w:p>
      <w:pPr>
        <w:pStyle w:val="746"/>
        <w:ind w:firstLine="709"/>
        <w:jc w:val="both"/>
        <w:rPr>
          <w:b/>
          <w:bCs/>
        </w:rPr>
      </w:pPr>
      <w:r/>
      <w:bookmarkStart w:id="7" w:name="_Hlk103257435"/>
      <w:r/>
      <w:bookmarkStart w:id="8" w:name="_Hlk103685425"/>
      <w:r/>
      <w:bookmarkEnd w:id="7"/>
      <w:r/>
      <w:bookmarkEnd w:id="8"/>
      <w:r>
        <w:rPr>
          <w:b/>
          <w:bCs/>
        </w:rPr>
        <w:t xml:space="preserve">Дог</w:t>
      </w:r>
      <w:r>
        <w:rPr>
          <w:b/>
          <w:bCs/>
        </w:rPr>
        <w:t xml:space="preserve">овор аренды Объекта заключается между Банком и Арендатором в течение 15 (Пятнадцати) рабочих дней с даты подведения итогов Торгов. Договор заключается по форме Банка, приложенной к Торгам, с установлением ценовых условий, сложившихся по результатам Торгов.</w:t>
      </w:r>
      <w:r>
        <w:rPr>
          <w:b/>
          <w:bCs/>
        </w:rPr>
      </w:r>
    </w:p>
    <w:p>
      <w:pPr>
        <w:pStyle w:val="746"/>
        <w:ind w:firstLine="709"/>
        <w:jc w:val="both"/>
      </w:pPr>
      <w:r>
        <w:rPr>
          <w:b/>
          <w:bCs/>
        </w:rPr>
        <w:t xml:space="preserve"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 </w:t>
      </w:r>
      <w:r/>
    </w:p>
    <w:p>
      <w:pPr>
        <w:pStyle w:val="746"/>
        <w:ind w:firstLine="709"/>
        <w:jc w:val="both"/>
        <w:rPr>
          <w:b/>
          <w:bCs/>
        </w:rPr>
      </w:pPr>
      <w:r>
        <w:rPr>
          <w:b/>
          <w:bCs/>
        </w:rPr>
        <w:t xml:space="preserve">Оплата Арендной платы производится Арендатором путём безналичного перечисления денежных средств на счёт, указанный в Договоре аренды, в порядке и сроки, указанные в договоре аренды Объекта.</w:t>
      </w:r>
      <w:r>
        <w:rPr>
          <w:b/>
          <w:bCs/>
        </w:rPr>
      </w:r>
    </w:p>
    <w:p>
      <w:pPr>
        <w:pStyle w:val="746"/>
        <w:ind w:firstLine="709"/>
        <w:jc w:val="both"/>
      </w:pPr>
      <w:r>
        <w:rPr>
          <w:b/>
          <w:bCs/>
        </w:rPr>
        <w:t xml:space="preserve">В случае признания Торгов несостоявшимися по причине допуска к участию в них только </w:t>
      </w:r>
      <w:r>
        <w:rPr>
          <w:b/>
          <w:bCs/>
        </w:rPr>
        <w:t xml:space="preserve">1 (одного) участника, договор аренды Объекта может быть заключён с единственным участником Торгов в течение 15 (Пятнадцати) рабочих дней с даты признания Торгов несостоявшимися на ценовых условиях, не ниже начальной цены Арендной платы, указанной в Торгах.</w:t>
      </w:r>
      <w:r/>
    </w:p>
    <w:p>
      <w:pPr>
        <w:pStyle w:val="746"/>
        <w:ind w:firstLine="709"/>
        <w:jc w:val="both"/>
        <w:rPr>
          <w:b/>
          <w:bCs/>
        </w:rPr>
      </w:pPr>
      <w:r/>
      <w:bookmarkStart w:id="9" w:name="_Hlk103257435"/>
      <w:r/>
      <w:bookmarkStart w:id="10" w:name="_Hlk103685425"/>
      <w:r/>
      <w:bookmarkEnd w:id="9"/>
      <w:r/>
      <w:bookmarkEnd w:id="10"/>
      <w:r>
        <w:rPr>
          <w:b/>
          <w:bCs/>
        </w:rPr>
        <w:t xml:space="preserve"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условиям.</w:t>
      </w:r>
      <w:r>
        <w:rPr>
          <w:b/>
          <w:bCs/>
        </w:rPr>
      </w:r>
    </w:p>
    <w:p>
      <w:pPr>
        <w:pStyle w:val="746"/>
        <w:ind w:firstLine="709"/>
        <w:jc w:val="both"/>
      </w:pPr>
      <w:r>
        <w:rPr>
          <w:b/>
          <w:bCs/>
        </w:rPr>
        <w:t xml:space="preserve"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  <w:r/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numPr>
          <w:ilvl w:val="0"/>
          <w:numId w:val="0"/>
        </w:numPr>
        <w:ind w:firstLine="709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p>
      <w:pPr>
        <w:pStyle w:val="746"/>
        <w:jc w:val="right"/>
        <w:rPr>
          <w:b/>
          <w:spacing w:val="26"/>
          <w:sz w:val="22"/>
          <w:szCs w:val="22"/>
        </w:rPr>
      </w:pPr>
      <w:r>
        <w:rPr>
          <w:b/>
          <w:spacing w:val="26"/>
          <w:sz w:val="22"/>
          <w:szCs w:val="22"/>
        </w:rPr>
        <w:t xml:space="preserve">Приложение 1</w:t>
      </w:r>
      <w:r>
        <w:rPr>
          <w:b/>
          <w:spacing w:val="26"/>
          <w:sz w:val="22"/>
          <w:szCs w:val="22"/>
        </w:rPr>
      </w:r>
    </w:p>
    <w:p>
      <w:pPr>
        <w:pStyle w:val="746"/>
        <w:jc w:val="center"/>
        <w:rPr>
          <w:rFonts w:eastAsia="SimSun;宋体"/>
          <w:b/>
          <w:spacing w:val="26"/>
          <w:sz w:val="22"/>
          <w:szCs w:val="22"/>
          <w:lang w:eastAsia="en-US"/>
        </w:rPr>
      </w:pPr>
      <w:r>
        <w:rPr>
          <w:rFonts w:eastAsia="SimSun;宋体"/>
          <w:b/>
          <w:spacing w:val="26"/>
          <w:sz w:val="22"/>
          <w:szCs w:val="22"/>
          <w:lang w:eastAsia="en-US"/>
        </w:rPr>
        <w:t xml:space="preserve">ЗАВЕРЕНИЕ КОНТРАГЕНТА ЮРИДИЧЕСКОГО ЛИЦА</w:t>
      </w:r>
      <w:r>
        <w:rPr>
          <w:rFonts w:eastAsia="SimSun;宋体"/>
          <w:b/>
          <w:spacing w:val="26"/>
          <w:sz w:val="22"/>
          <w:szCs w:val="22"/>
          <w:lang w:eastAsia="en-US"/>
        </w:rPr>
      </w:r>
    </w:p>
    <w:p>
      <w:pPr>
        <w:pStyle w:val="746"/>
        <w:jc w:val="center"/>
        <w:rPr>
          <w:rFonts w:eastAsia="SimSun;宋体"/>
          <w:b/>
          <w:spacing w:val="26"/>
          <w:sz w:val="22"/>
          <w:szCs w:val="22"/>
          <w:lang w:eastAsia="en-US"/>
        </w:rPr>
      </w:pPr>
      <w:r>
        <w:rPr>
          <w:rFonts w:eastAsia="SimSun;宋体"/>
          <w:b/>
          <w:spacing w:val="26"/>
          <w:sz w:val="22"/>
          <w:szCs w:val="22"/>
          <w:lang w:eastAsia="en-US"/>
        </w:rPr>
        <w:t xml:space="preserve">О СТРУКТУРЕ ВЛАДЕНИЯ</w:t>
      </w:r>
      <w:r>
        <w:rPr>
          <w:rFonts w:eastAsia="SimSun;宋体"/>
          <w:b/>
          <w:spacing w:val="26"/>
          <w:sz w:val="22"/>
          <w:szCs w:val="22"/>
          <w:lang w:eastAsia="en-US"/>
        </w:rPr>
      </w:r>
    </w:p>
    <w:p>
      <w:pPr>
        <w:pStyle w:val="746"/>
        <w:rPr>
          <w:rFonts w:eastAsia="Times New Roman"/>
          <w:b/>
          <w:color w:val="020c22"/>
          <w:sz w:val="22"/>
          <w:szCs w:val="22"/>
        </w:rPr>
      </w:pPr>
      <w:r>
        <w:rPr>
          <w:rFonts w:eastAsia="Times New Roman"/>
          <w:b/>
          <w:color w:val="020c22"/>
          <w:sz w:val="22"/>
          <w:szCs w:val="22"/>
        </w:rPr>
        <w:t xml:space="preserve">Дата ________ </w:t>
      </w:r>
      <w:r>
        <w:rPr>
          <w:rFonts w:eastAsia="Times New Roman"/>
          <w:b/>
          <w:color w:val="020c22"/>
          <w:sz w:val="22"/>
          <w:szCs w:val="22"/>
        </w:rPr>
      </w:r>
    </w:p>
    <w:p>
      <w:pPr>
        <w:pStyle w:val="746"/>
        <w:jc w:val="both"/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pPr>
      <w:r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r>
      <w:r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r>
    </w:p>
    <w:tbl>
      <w:tblPr>
        <w:tblW w:w="10090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44"/>
        <w:gridCol w:w="6846"/>
      </w:tblGrid>
      <w:tr>
        <w:tblPrEx/>
        <w:trPr>
          <w:trHeight w:val="53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4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Наименование юридического лица - контрагента по сделке (операции)</w:t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9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4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ИНН/КИО юридического лица</w:t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6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i/>
                <w:color w:val="2f5496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i/>
                <w:color w:val="2f5496"/>
                <w:sz w:val="22"/>
                <w:szCs w:val="22"/>
                <w:lang w:val="en-GB" w:eastAsia="en-US"/>
              </w:rPr>
            </w:r>
            <w:r>
              <w:rPr>
                <w:rFonts w:eastAsia="SimSun;宋体"/>
                <w:b/>
                <w:i/>
                <w:color w:val="2f5496"/>
                <w:sz w:val="22"/>
                <w:szCs w:val="22"/>
                <w:lang w:val="en-GB" w:eastAsia="en-US"/>
              </w:rPr>
            </w:r>
          </w:p>
        </w:tc>
      </w:tr>
    </w:tbl>
    <w:p>
      <w:pPr>
        <w:pStyle w:val="746"/>
        <w:ind w:firstLine="709"/>
        <w:jc w:val="both"/>
        <w:rPr>
          <w:rFonts w:eastAsia="SimSun;宋体"/>
          <w:color w:val="000000"/>
          <w:sz w:val="22"/>
          <w:szCs w:val="22"/>
          <w:highlight w:val="yellow"/>
          <w:lang w:val="en-GB" w:eastAsia="en-US"/>
        </w:rPr>
      </w:pPr>
      <w:r>
        <w:rPr>
          <w:rFonts w:eastAsia="SimSun;宋体"/>
          <w:color w:val="000000"/>
          <w:sz w:val="22"/>
          <w:szCs w:val="22"/>
          <w:highlight w:val="yellow"/>
          <w:lang w:val="en-GB" w:eastAsia="en-US"/>
        </w:rPr>
      </w:r>
      <w:r>
        <w:rPr>
          <w:rFonts w:eastAsia="SimSun;宋体"/>
          <w:color w:val="000000"/>
          <w:sz w:val="22"/>
          <w:szCs w:val="22"/>
          <w:highlight w:val="yellow"/>
          <w:lang w:val="en-GB" w:eastAsia="en-US"/>
        </w:rPr>
      </w:r>
    </w:p>
    <w:p>
      <w:pPr>
        <w:pStyle w:val="746"/>
        <w:jc w:val="both"/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>
        <w:rPr>
          <w:rStyle w:val="799"/>
          <w:rFonts w:eastAsia="SimSun;宋体"/>
          <w:szCs w:val="20"/>
          <w:vertAlign w:val="superscript"/>
          <w:lang w:val="en-GB" w:eastAsia="en-US"/>
        </w:rPr>
        <w:footnoteReference w:id="3"/>
      </w:r>
      <w:r>
        <w:rPr>
          <w:rFonts w:eastAsia="SimSun;宋体"/>
          <w:color w:val="000000"/>
          <w:sz w:val="22"/>
          <w:szCs w:val="22"/>
          <w:lang w:eastAsia="en-US"/>
        </w:rPr>
        <w:t xml:space="preserve"> :</w:t>
      </w:r>
      <w:r/>
    </w:p>
    <w:p>
      <w:pPr>
        <w:pStyle w:val="746"/>
        <w:numPr>
          <w:ilvl w:val="0"/>
          <w:numId w:val="4"/>
        </w:numPr>
        <w:contextualSpacing/>
        <w:jc w:val="both"/>
        <w:spacing w:before="0" w:after="0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b/>
          <w:color w:val="000000"/>
          <w:sz w:val="22"/>
          <w:szCs w:val="22"/>
          <w:lang w:eastAsia="en-US"/>
        </w:rPr>
        <w:t xml:space="preserve">НЕ ЯВЛЯЕТСЯ/ ЯВЛЯЕТСЯ</w:t>
      </w:r>
      <w:r>
        <w:rPr>
          <w:rStyle w:val="799"/>
          <w:rFonts w:eastAsia="SimSun;宋体"/>
          <w:color w:val="000000"/>
          <w:sz w:val="22"/>
          <w:szCs w:val="22"/>
          <w:vertAlign w:val="superscript"/>
          <w:lang w:val="en-GB" w:eastAsia="en-US"/>
        </w:rPr>
        <w:footnoteReference w:id="4"/>
      </w:r>
      <w:r>
        <w:rPr>
          <w:rFonts w:eastAsia="SimSun;宋体"/>
          <w:color w:val="000000"/>
          <w:sz w:val="22"/>
          <w:szCs w:val="22"/>
          <w:lang w:eastAsia="en-US"/>
        </w:rPr>
        <w:t xml:space="preserve">  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 лицом, связанным с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физических лиц недружественные действия (в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деятельности являются эти государства);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numPr>
          <w:ilvl w:val="0"/>
          <w:numId w:val="4"/>
        </w:numPr>
        <w:contextualSpacing/>
        <w:jc w:val="both"/>
        <w:spacing w:before="0" w:after="0"/>
      </w:pPr>
      <w:r>
        <w:rPr>
          <w:rFonts w:eastAsia="SimSun;宋体"/>
          <w:b/>
          <w:color w:val="000000"/>
          <w:sz w:val="22"/>
          <w:szCs w:val="22"/>
          <w:lang w:eastAsia="en-US"/>
        </w:rPr>
        <w:t xml:space="preserve">НЕ ЯВЛЯЕТСЯ/ ЯВЛЯЕТСЯ</w:t>
      </w:r>
      <w:r>
        <w:rPr>
          <w:rFonts w:eastAsia="SimSun;宋体"/>
          <w:sz w:val="22"/>
          <w:szCs w:val="22"/>
          <w:vertAlign w:val="superscript"/>
          <w:lang w:eastAsia="en-US"/>
        </w:rPr>
        <w:t xml:space="preserve">2 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лицом, которое находится под контролем иностранных лиц, связанных с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физических лиц недружественные действия (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  <w:r/>
    </w:p>
    <w:p>
      <w:pPr>
        <w:pStyle w:val="746"/>
        <w:ind w:left="426" w:firstLine="0"/>
        <w:jc w:val="both"/>
        <w:spacing w:line="288" w:lineRule="auto"/>
        <w:tabs>
          <w:tab w:val="clear" w:pos="708" w:leader="none"/>
          <w:tab w:val="left" w:pos="851" w:leader="none"/>
        </w:tabs>
        <w:rPr>
          <w:rFonts w:eastAsia="Times New Roman"/>
          <w:color w:val="020c22"/>
          <w:sz w:val="22"/>
          <w:szCs w:val="22"/>
          <w:lang w:eastAsia="en-US"/>
        </w:rPr>
      </w:pPr>
      <w:r>
        <w:rPr>
          <w:rFonts w:eastAsia="Times New Roman"/>
          <w:color w:val="020c22"/>
          <w:sz w:val="22"/>
          <w:szCs w:val="22"/>
          <w:lang w:eastAsia="en-US"/>
        </w:rPr>
      </w:r>
      <w:r>
        <w:rPr>
          <w:rFonts w:eastAsia="Times New Roman"/>
          <w:color w:val="020c22"/>
          <w:sz w:val="22"/>
          <w:szCs w:val="22"/>
          <w:lang w:eastAsia="en-US"/>
        </w:rPr>
      </w:r>
    </w:p>
    <w:p>
      <w:pPr>
        <w:pStyle w:val="746"/>
        <w:jc w:val="both"/>
        <w:tabs>
          <w:tab w:val="clear" w:pos="708" w:leader="none"/>
          <w:tab w:val="left" w:pos="851" w:leader="none"/>
        </w:tabs>
      </w:pPr>
      <w:r>
        <w:rPr>
          <w:rFonts w:eastAsia="Times New Roman"/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>
        <w:rPr>
          <w:rFonts w:eastAsia="Times New Roman"/>
          <w:color w:val="020c22"/>
          <w:sz w:val="22"/>
          <w:szCs w:val="22"/>
        </w:rPr>
        <w:t xml:space="preserve">- физических лиц, а также Госучастников индивидуально или совместно владеющих прямо или косвенно (через третьих лиц) более чем 50% в капитале Общества</w:t>
      </w:r>
      <w:r>
        <w:rPr>
          <w:rFonts w:eastAsia="Times New Roman"/>
          <w:color w:val="020c22"/>
          <w:sz w:val="22"/>
          <w:szCs w:val="22"/>
          <w:vertAlign w:val="superscript"/>
        </w:rPr>
        <w:t xml:space="preserve">1</w:t>
      </w:r>
      <w:r>
        <w:t xml:space="preserve">:</w:t>
      </w:r>
      <w:r/>
    </w:p>
    <w:tbl>
      <w:tblPr>
        <w:tblW w:w="10283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91"/>
        <w:gridCol w:w="1326"/>
        <w:gridCol w:w="1787"/>
        <w:gridCol w:w="1434"/>
        <w:gridCol w:w="1351"/>
        <w:gridCol w:w="1390"/>
        <w:gridCol w:w="1404"/>
      </w:tblGrid>
      <w:tr>
        <w:tblPrEx/>
        <w:trPr>
          <w:trHeight w:val="20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b/>
                <w:color w:val="020c22"/>
                <w:sz w:val="20"/>
                <w:szCs w:val="20"/>
              </w:rPr>
              <w:t xml:space="preserve">ФИО/    наименование Госучастника</w:t>
            </w:r>
            <w:r>
              <w:rPr>
                <w:rStyle w:val="799"/>
                <w:b/>
                <w:color w:val="020c22"/>
                <w:sz w:val="20"/>
                <w:szCs w:val="20"/>
                <w:vertAlign w:val="superscript"/>
              </w:rPr>
              <w:footnoteReference w:id="5"/>
            </w:r>
            <w:r>
              <w:rPr>
                <w:b/>
                <w:color w:val="020c22"/>
                <w:sz w:val="20"/>
                <w:szCs w:val="20"/>
                <w:vertAlign w:val="superscript"/>
              </w:rPr>
              <w:t xml:space="preserve">,</w:t>
            </w:r>
            <w:r>
              <w:rPr>
                <w:rStyle w:val="799"/>
                <w:b/>
                <w:color w:val="020c22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6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rFonts w:eastAsia="Times New Roman"/>
                <w:b/>
                <w:color w:val="020c22"/>
                <w:sz w:val="20"/>
                <w:szCs w:val="20"/>
              </w:rPr>
              <w:t xml:space="preserve"> </w:t>
            </w:r>
            <w:r>
              <w:rPr>
                <w:b/>
                <w:color w:val="020c22"/>
                <w:sz w:val="20"/>
                <w:szCs w:val="20"/>
              </w:rPr>
              <w:t xml:space="preserve">Номер, серия ДУЛ</w:t>
            </w:r>
            <w:r>
              <w:rPr>
                <w:rStyle w:val="799"/>
                <w:b/>
                <w:color w:val="020c22"/>
                <w:sz w:val="20"/>
                <w:szCs w:val="20"/>
                <w:vertAlign w:val="superscript"/>
              </w:rPr>
              <w:footnoteReference w:id="7"/>
            </w:r>
            <w:r>
              <w:rPr>
                <w:b/>
                <w:color w:val="020c22"/>
                <w:sz w:val="20"/>
                <w:szCs w:val="20"/>
              </w:rPr>
              <w:t xml:space="preserve"> и место регистрации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b/>
                <w:color w:val="020c22"/>
                <w:sz w:val="20"/>
                <w:szCs w:val="20"/>
              </w:rPr>
            </w:pPr>
            <w:r>
              <w:rPr>
                <w:b/>
                <w:color w:val="020c22"/>
                <w:sz w:val="20"/>
                <w:szCs w:val="20"/>
              </w:rPr>
            </w:r>
            <w:r>
              <w:rPr>
                <w:b/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b/>
                <w:color w:val="020c22"/>
                <w:sz w:val="20"/>
                <w:szCs w:val="20"/>
              </w:rPr>
            </w:pPr>
            <w:r>
              <w:rPr>
                <w:b/>
                <w:color w:val="020c22"/>
                <w:sz w:val="20"/>
                <w:szCs w:val="20"/>
              </w:rPr>
            </w:r>
            <w:r>
              <w:rPr>
                <w:b/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Доля владения/участия в капитале Общества</w:t>
            </w:r>
            <w:r>
              <w:rPr>
                <w:b/>
                <w:color w:val="020c22"/>
                <w:sz w:val="20"/>
                <w:szCs w:val="20"/>
                <w:vertAlign w:val="superscript"/>
              </w:rPr>
              <w:t xml:space="preserve">1</w:t>
            </w:r>
            <w:r>
              <w:rPr>
                <w:b/>
                <w:color w:val="020c22"/>
                <w:sz w:val="20"/>
                <w:szCs w:val="20"/>
              </w:rPr>
              <w:t xml:space="preserve"> 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b/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(прямо или косвенно (через третьих лиц))</w:t>
            </w:r>
            <w:r>
              <w:rPr>
                <w:b/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Для ФЛ: Гражданство</w:t>
            </w:r>
            <w:r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>
              <w:rPr>
                <w:b/>
                <w:color w:val="020c22"/>
                <w:sz w:val="20"/>
                <w:szCs w:val="20"/>
              </w:rPr>
              <w:t xml:space="preserve">все имеющиеся</w:t>
            </w:r>
            <w:r>
              <w:rPr>
                <w:color w:val="020c22"/>
                <w:sz w:val="20"/>
                <w:szCs w:val="20"/>
              </w:rPr>
              <w:t xml:space="preserve"> гражданства </w:t>
            </w:r>
            <w:r>
              <w:rPr>
                <w:sz w:val="20"/>
                <w:szCs w:val="20"/>
                <w:lang w:bidi="hi-IN"/>
              </w:rPr>
              <w:t xml:space="preserve">(в том числе наличие иных гражданств у ФЛ – гражданина РФ</w:t>
            </w:r>
            <w:r>
              <w:rPr>
                <w:color w:val="020c22"/>
                <w:sz w:val="20"/>
                <w:szCs w:val="20"/>
              </w:rPr>
              <w:t xml:space="preserve">)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Для Госучастника</w:t>
            </w:r>
            <w:r>
              <w:rPr>
                <w:color w:val="020c22"/>
                <w:sz w:val="20"/>
                <w:szCs w:val="20"/>
              </w:rPr>
              <w:t xml:space="preserve"> – страна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color w:val="020c22"/>
                <w:sz w:val="20"/>
                <w:szCs w:val="20"/>
              </w:rPr>
              <w:t xml:space="preserve">Является </w:t>
            </w:r>
            <w:r>
              <w:rPr>
                <w:b/>
                <w:color w:val="020c22"/>
                <w:sz w:val="20"/>
                <w:szCs w:val="20"/>
              </w:rPr>
              <w:t xml:space="preserve">налоговым резидентом</w:t>
            </w:r>
            <w:r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(ДА/НЕТ)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* при ответе «Да» укажите страну </w:t>
            </w:r>
            <w:r>
              <w:rPr>
                <w:color w:val="020c22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color w:val="020c22"/>
                <w:sz w:val="20"/>
                <w:szCs w:val="20"/>
              </w:rPr>
              <w:t xml:space="preserve">Имеется ли </w:t>
            </w:r>
            <w:r>
              <w:rPr>
                <w:b/>
                <w:color w:val="020c22"/>
                <w:sz w:val="20"/>
                <w:szCs w:val="20"/>
              </w:rPr>
              <w:t xml:space="preserve">вид(-ы) на жительство</w:t>
            </w:r>
            <w:r>
              <w:rPr>
                <w:color w:val="020c22"/>
                <w:sz w:val="20"/>
                <w:szCs w:val="20"/>
              </w:rPr>
              <w:t xml:space="preserve"> </w:t>
            </w:r>
            <w:r>
              <w:rPr>
                <w:b/>
                <w:color w:val="020c22"/>
                <w:sz w:val="20"/>
                <w:szCs w:val="20"/>
              </w:rPr>
              <w:t xml:space="preserve">(адрес регистрации)</w:t>
            </w:r>
            <w:r>
              <w:rPr>
                <w:color w:val="020c22"/>
                <w:sz w:val="20"/>
                <w:szCs w:val="20"/>
              </w:rPr>
              <w:t xml:space="preserve"> в иностранном государстве*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(ДА/НЕТ)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*заполняется при ответе «Да» на вопрос из столбца 5</w:t>
            </w:r>
            <w:r>
              <w:rPr>
                <w:color w:val="020c22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Перечень стран,</w:t>
            </w:r>
            <w:r>
              <w:rPr>
                <w:color w:val="020c22"/>
                <w:sz w:val="20"/>
                <w:szCs w:val="20"/>
              </w:rPr>
              <w:t xml:space="preserve"> в которых имеются вид(-ы) на жительство (адрес регистрации)*</w:t>
            </w:r>
            <w:r/>
          </w:p>
          <w:p>
            <w:pPr>
              <w:pStyle w:val="746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*заполняется при ответе «Да» на вопрос из столбца 6</w:t>
            </w:r>
            <w:r>
              <w:rPr>
                <w:color w:val="020c22"/>
                <w:sz w:val="18"/>
                <w:szCs w:val="18"/>
              </w:rPr>
            </w:r>
          </w:p>
        </w:tc>
      </w:tr>
      <w:tr>
        <w:tblPrEx/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1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2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3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4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5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6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7</w:t>
            </w:r>
            <w:r>
              <w:rPr>
                <w:color w:val="020c22"/>
                <w:sz w:val="22"/>
                <w:szCs w:val="22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6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6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7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</w:tr>
    </w:tbl>
    <w:p>
      <w:pPr>
        <w:pStyle w:val="746"/>
        <w:jc w:val="both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color w:val="000000"/>
          <w:sz w:val="22"/>
          <w:szCs w:val="22"/>
          <w:lang w:eastAsia="en-US"/>
        </w:rPr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jc w:val="both"/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rFonts w:eastAsia="SimSun;宋体"/>
          <w:sz w:val="22"/>
          <w:szCs w:val="22"/>
          <w:lang w:eastAsia="en-US"/>
        </w:rPr>
        <w:t xml:space="preserve">,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rFonts w:eastAsia="SimSun;宋体"/>
          <w:color w:val="000000"/>
          <w:szCs w:val="20"/>
          <w:lang w:eastAsia="en-US"/>
        </w:rPr>
        <w:t xml:space="preserve"> </w:t>
      </w:r>
      <w:r>
        <w:rPr>
          <w:rFonts w:eastAsia="SimSun;宋体"/>
          <w:sz w:val="22"/>
          <w:szCs w:val="22"/>
          <w:lang w:eastAsia="en-US"/>
        </w:rPr>
        <w:t xml:space="preserve"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), а также несу персональную ответственность, предусмотренную действующим законодательством Российской Федерации, за:</w:t>
      </w:r>
      <w:r/>
    </w:p>
    <w:p>
      <w:pPr>
        <w:pStyle w:val="746"/>
        <w:numPr>
          <w:ilvl w:val="0"/>
          <w:numId w:val="7"/>
        </w:numPr>
        <w:jc w:val="both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достоверность всех указанных в настоящем документе сведений;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numPr>
          <w:ilvl w:val="0"/>
          <w:numId w:val="7"/>
        </w:numPr>
        <w:jc w:val="both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получение всех необходимых согласий, в том числе на сбор, обработку и передачу всех указанных в настоящем документе персональных данных.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jc w:val="both"/>
        <w:tabs>
          <w:tab w:val="clear" w:pos="708" w:leader="none"/>
          <w:tab w:val="left" w:pos="851" w:leader="none"/>
        </w:tabs>
      </w:pPr>
      <w:r>
        <w:rPr>
          <w:rFonts w:eastAsia="Times New Roman"/>
          <w:color w:val="000000"/>
          <w:sz w:val="22"/>
          <w:szCs w:val="22"/>
        </w:rPr>
        <w:t xml:space="preserve"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>
        <w:rPr>
          <w:rFonts w:eastAsia="Times New Roman"/>
          <w:i/>
          <w:color w:val="000000"/>
          <w:sz w:val="22"/>
          <w:szCs w:val="22"/>
        </w:rPr>
        <w:t xml:space="preserve">Доля владения/участия в капитале Общества</w:t>
      </w:r>
      <w:r>
        <w:rPr>
          <w:rFonts w:eastAsia="Times New Roman"/>
          <w:i/>
          <w:color w:val="000000"/>
          <w:sz w:val="22"/>
          <w:szCs w:val="22"/>
          <w:vertAlign w:val="superscript"/>
        </w:rPr>
        <w:t xml:space="preserve"> </w:t>
      </w:r>
      <w:r>
        <w:rPr>
          <w:rFonts w:eastAsia="Times New Roman"/>
          <w:i/>
          <w:color w:val="000000"/>
          <w:sz w:val="22"/>
          <w:szCs w:val="22"/>
        </w:rPr>
        <w:t xml:space="preserve">(прямо или косвенно (через третьих лиц))</w:t>
      </w:r>
      <w:r>
        <w:rPr>
          <w:rFonts w:eastAsia="Times New Roman"/>
          <w:color w:val="000000"/>
          <w:sz w:val="22"/>
          <w:szCs w:val="22"/>
        </w:rPr>
        <w:t xml:space="preserve">»), приведенной в настоящем документе,</w:t>
      </w:r>
      <w:r>
        <w:rPr>
          <w:rFonts w:eastAsia="Times New Roman"/>
          <w:color w:val="000000"/>
          <w:sz w:val="22"/>
          <w:szCs w:val="22"/>
        </w:rPr>
        <w:t xml:space="preserve">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  <w:r/>
    </w:p>
    <w:p>
      <w:pPr>
        <w:pStyle w:val="746"/>
        <w:jc w:val="both"/>
        <w:tabs>
          <w:tab w:val="clear" w:pos="708" w:leader="none"/>
          <w:tab w:val="left" w:pos="851" w:leader="none"/>
        </w:tabs>
        <w:rPr>
          <w:rFonts w:eastAsia="Times New Roman"/>
          <w:b/>
          <w:color w:val="000000"/>
          <w:sz w:val="22"/>
          <w:szCs w:val="22"/>
          <w:vertAlign w:val="superscript"/>
        </w:rPr>
      </w:pPr>
      <w:r>
        <w:rPr>
          <w:rFonts w:eastAsia="Times New Roman"/>
          <w:b/>
          <w:color w:val="000000"/>
          <w:sz w:val="22"/>
          <w:szCs w:val="22"/>
          <w:vertAlign w:val="superscript"/>
        </w:rPr>
      </w:r>
      <w:r>
        <w:rPr>
          <w:rFonts w:eastAsia="Times New Roman"/>
          <w:b/>
          <w:color w:val="000000"/>
          <w:sz w:val="22"/>
          <w:szCs w:val="22"/>
          <w:vertAlign w:val="superscript"/>
        </w:rPr>
      </w:r>
    </w:p>
    <w:tbl>
      <w:tblPr>
        <w:tblW w:w="10170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25"/>
        <w:gridCol w:w="6845"/>
      </w:tblGrid>
      <w:tr>
        <w:tblPrEx/>
        <w:trPr>
          <w:trHeight w:val="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/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val="en-GB" w:eastAsia="en-US"/>
              </w:rPr>
              <w:t xml:space="preserve">ФИО</w:t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 ЕИО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5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val="en-GB" w:eastAsia="en-US"/>
              </w:rPr>
            </w:r>
            <w:r>
              <w:rPr>
                <w:rFonts w:eastAsia="SimSun;宋体"/>
                <w:b/>
                <w:color w:val="000000"/>
                <w:sz w:val="22"/>
                <w:szCs w:val="22"/>
                <w:lang w:val="en-GB" w:eastAsia="en-US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/>
              <w:rPr>
                <w:rFonts w:eastAsia="SimSun;宋体"/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Подпись</w:t>
            </w:r>
            <w:r>
              <w:rPr>
                <w:rFonts w:eastAsia="SimSun;宋体"/>
                <w:b/>
                <w:color w:val="000000"/>
                <w:sz w:val="22"/>
                <w:szCs w:val="22"/>
                <w:lang w:val="en-GB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5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200" w:line="276" w:lineRule="auto"/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r>
            <w:r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r>
          </w:p>
        </w:tc>
      </w:tr>
    </w:tbl>
    <w:p>
      <w:pPr>
        <w:pStyle w:val="746"/>
        <w:rPr>
          <w:rFonts w:eastAsia="SimSun;宋体"/>
          <w:sz w:val="22"/>
          <w:szCs w:val="22"/>
          <w:lang w:eastAsia="en-US"/>
        </w:rPr>
      </w:pPr>
      <w:r>
        <w:rPr>
          <w:rFonts w:eastAsia="SimSun;宋体"/>
          <w:sz w:val="22"/>
          <w:szCs w:val="22"/>
          <w:lang w:eastAsia="en-US"/>
        </w:rPr>
        <w:tab/>
        <w:tab/>
        <w:tab/>
        <w:tab/>
        <w:tab/>
        <w:tab/>
        <w:tab/>
        <w:tab/>
        <w:tab/>
        <w:tab/>
        <w:tab/>
        <w:tab/>
        <w:t xml:space="preserve">        МП</w:t>
      </w:r>
      <w:r>
        <w:br w:type="page" w:clear="all"/>
      </w:r>
      <w:r>
        <w:rPr>
          <w:rFonts w:eastAsia="SimSun;宋体"/>
          <w:sz w:val="22"/>
          <w:szCs w:val="22"/>
          <w:lang w:eastAsia="en-US"/>
        </w:rPr>
      </w:r>
    </w:p>
    <w:p>
      <w:pPr>
        <w:pStyle w:val="746"/>
        <w:jc w:val="center"/>
        <w:rPr>
          <w:rFonts w:eastAsia="SimSun;宋体"/>
          <w:b/>
          <w:spacing w:val="26"/>
          <w:sz w:val="22"/>
          <w:szCs w:val="22"/>
          <w:lang w:eastAsia="en-US"/>
        </w:rPr>
      </w:pPr>
      <w:r>
        <w:rPr>
          <w:rFonts w:eastAsia="SimSun;宋体"/>
          <w:b/>
          <w:spacing w:val="26"/>
          <w:sz w:val="22"/>
          <w:szCs w:val="22"/>
          <w:lang w:eastAsia="en-US"/>
        </w:rPr>
        <w:t xml:space="preserve">ЗАВЕРЕНИЕ КОНТРАГЕНТА</w:t>
      </w:r>
      <w:r>
        <w:rPr>
          <w:rFonts w:eastAsia="SimSun;宋体"/>
          <w:b/>
          <w:spacing w:val="26"/>
          <w:sz w:val="22"/>
          <w:szCs w:val="22"/>
          <w:lang w:eastAsia="en-US"/>
        </w:rPr>
      </w:r>
    </w:p>
    <w:p>
      <w:pPr>
        <w:pStyle w:val="746"/>
        <w:jc w:val="center"/>
        <w:rPr>
          <w:rFonts w:eastAsia="SimSun;宋体"/>
          <w:b/>
          <w:spacing w:val="26"/>
          <w:sz w:val="22"/>
          <w:szCs w:val="22"/>
          <w:lang w:eastAsia="en-US"/>
        </w:rPr>
      </w:pPr>
      <w:r>
        <w:rPr>
          <w:rFonts w:eastAsia="SimSun;宋体"/>
          <w:b/>
          <w:spacing w:val="26"/>
          <w:sz w:val="22"/>
          <w:szCs w:val="22"/>
          <w:lang w:eastAsia="en-US"/>
        </w:rPr>
        <w:t xml:space="preserve">ИНДИВИДУАЛЬНОГО ПРЕДПРИНИМАТЕЛЯ</w:t>
      </w:r>
      <w:r>
        <w:rPr>
          <w:rFonts w:eastAsia="SimSun;宋体"/>
          <w:b/>
          <w:spacing w:val="26"/>
          <w:sz w:val="22"/>
          <w:szCs w:val="22"/>
          <w:lang w:eastAsia="en-US"/>
        </w:rPr>
      </w:r>
    </w:p>
    <w:p>
      <w:pPr>
        <w:pStyle w:val="746"/>
        <w:rPr>
          <w:rFonts w:eastAsia="Times New Roman"/>
          <w:b/>
          <w:color w:val="020c22"/>
          <w:sz w:val="22"/>
          <w:szCs w:val="22"/>
        </w:rPr>
      </w:pPr>
      <w:r>
        <w:rPr>
          <w:rFonts w:eastAsia="Times New Roman"/>
          <w:b/>
          <w:color w:val="020c22"/>
          <w:sz w:val="22"/>
          <w:szCs w:val="22"/>
        </w:rPr>
        <w:t xml:space="preserve">Дата ________ </w:t>
      </w:r>
      <w:r>
        <w:rPr>
          <w:rFonts w:eastAsia="Times New Roman"/>
          <w:b/>
          <w:color w:val="020c22"/>
          <w:sz w:val="22"/>
          <w:szCs w:val="22"/>
        </w:rPr>
      </w:r>
    </w:p>
    <w:p>
      <w:pPr>
        <w:pStyle w:val="746"/>
        <w:jc w:val="both"/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pPr>
      <w:r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r>
      <w:r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r>
    </w:p>
    <w:tbl>
      <w:tblPr>
        <w:tblW w:w="10170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07"/>
        <w:gridCol w:w="6963"/>
      </w:tblGrid>
      <w:tr>
        <w:tblPrEx/>
        <w:trPr>
          <w:trHeight w:val="5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7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ФИО ИП- контрагента по сделке (операции)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2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7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ОГРНИП, ИНН</w:t>
            </w:r>
            <w:r>
              <w:rPr>
                <w:rFonts w:eastAsia="SimSun;宋体"/>
                <w:b/>
                <w:sz w:val="22"/>
                <w:szCs w:val="22"/>
                <w:lang w:val="en-GB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i/>
                <w:color w:val="2f5496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i/>
                <w:color w:val="2f5496"/>
                <w:sz w:val="22"/>
                <w:szCs w:val="22"/>
                <w:lang w:val="en-GB" w:eastAsia="en-US"/>
              </w:rPr>
            </w:r>
            <w:r>
              <w:rPr>
                <w:rFonts w:eastAsia="SimSun;宋体"/>
                <w:b/>
                <w:i/>
                <w:color w:val="2f5496"/>
                <w:sz w:val="22"/>
                <w:szCs w:val="22"/>
                <w:lang w:val="en-GB" w:eastAsia="en-US"/>
              </w:rPr>
            </w:r>
          </w:p>
        </w:tc>
      </w:tr>
    </w:tbl>
    <w:p>
      <w:pPr>
        <w:pStyle w:val="746"/>
        <w:ind w:firstLine="709"/>
        <w:jc w:val="both"/>
        <w:rPr>
          <w:rFonts w:eastAsia="SimSun;宋体"/>
          <w:color w:val="000000"/>
          <w:sz w:val="12"/>
          <w:szCs w:val="22"/>
          <w:highlight w:val="yellow"/>
          <w:lang w:val="en-GB" w:eastAsia="en-US"/>
        </w:rPr>
      </w:pPr>
      <w:r>
        <w:rPr>
          <w:rFonts w:eastAsia="SimSun;宋体"/>
          <w:color w:val="000000"/>
          <w:sz w:val="12"/>
          <w:szCs w:val="22"/>
          <w:highlight w:val="yellow"/>
          <w:lang w:val="en-GB" w:eastAsia="en-US"/>
        </w:rPr>
      </w:r>
      <w:r>
        <w:rPr>
          <w:rFonts w:eastAsia="SimSun;宋体"/>
          <w:color w:val="000000"/>
          <w:sz w:val="12"/>
          <w:szCs w:val="22"/>
          <w:highlight w:val="yellow"/>
          <w:lang w:val="en-GB" w:eastAsia="en-US"/>
        </w:rPr>
      </w:r>
    </w:p>
    <w:p>
      <w:pPr>
        <w:pStyle w:val="746"/>
        <w:jc w:val="both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numPr>
          <w:ilvl w:val="0"/>
          <w:numId w:val="4"/>
        </w:numPr>
        <w:contextualSpacing/>
        <w:ind w:left="426" w:hanging="284"/>
        <w:jc w:val="both"/>
        <w:spacing w:before="0" w:after="0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b/>
          <w:color w:val="000000"/>
          <w:sz w:val="22"/>
          <w:szCs w:val="22"/>
          <w:lang w:eastAsia="en-US"/>
        </w:rPr>
        <w:t xml:space="preserve">НЕ ЯВЛЯЮСЬ/ЯВЛЯЮСЬ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 </w:t>
      </w:r>
      <w:r>
        <w:rPr>
          <w:rFonts w:eastAsia="SimSun;宋体"/>
          <w:i/>
          <w:color w:val="000000"/>
          <w:sz w:val="22"/>
          <w:szCs w:val="22"/>
          <w:lang w:eastAsia="en-US"/>
        </w:rPr>
        <w:t xml:space="preserve">(ненужное зачеркнуть)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 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 лицом, связанным с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физических лиц недружественные действия (в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деятельности являются эти государства).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jc w:val="both"/>
        <w:rPr>
          <w:rFonts w:eastAsia="SimSun;宋体"/>
          <w:color w:val="020c22"/>
          <w:sz w:val="12"/>
          <w:szCs w:val="22"/>
          <w:lang w:eastAsia="en-US"/>
        </w:rPr>
      </w:pPr>
      <w:r>
        <w:rPr>
          <w:rFonts w:eastAsia="SimSun;宋体"/>
          <w:color w:val="020c22"/>
          <w:sz w:val="12"/>
          <w:szCs w:val="22"/>
          <w:lang w:eastAsia="en-US"/>
        </w:rPr>
      </w:r>
      <w:r>
        <w:rPr>
          <w:rFonts w:eastAsia="SimSun;宋体"/>
          <w:color w:val="020c22"/>
          <w:sz w:val="12"/>
          <w:szCs w:val="22"/>
          <w:lang w:eastAsia="en-US"/>
        </w:rPr>
      </w:r>
    </w:p>
    <w:tbl>
      <w:tblPr>
        <w:tblW w:w="10142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>
        <w:tblPrEx/>
        <w:trPr>
          <w:trHeight w:val="19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Номер, серия документа, удостоверяющего личность,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rFonts w:eastAsia="Times New Roman"/>
                <w:color w:val="020c22"/>
                <w:sz w:val="20"/>
                <w:szCs w:val="20"/>
              </w:rPr>
              <w:t xml:space="preserve"> </w:t>
            </w:r>
            <w:r>
              <w:rPr>
                <w:color w:val="020c22"/>
                <w:sz w:val="20"/>
                <w:szCs w:val="20"/>
              </w:rPr>
              <w:t xml:space="preserve">и место регистрации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b/>
                <w:color w:val="020c22"/>
                <w:sz w:val="20"/>
                <w:szCs w:val="20"/>
              </w:rPr>
            </w:pPr>
            <w:r>
              <w:rPr>
                <w:b/>
                <w:color w:val="020c22"/>
                <w:sz w:val="20"/>
                <w:szCs w:val="20"/>
              </w:rPr>
            </w:r>
            <w:r>
              <w:rPr>
                <w:b/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Гражданство</w:t>
            </w:r>
            <w:r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>
              <w:rPr>
                <w:b/>
                <w:color w:val="020c22"/>
                <w:sz w:val="20"/>
                <w:szCs w:val="20"/>
              </w:rPr>
              <w:t xml:space="preserve">все имеющиеся</w:t>
            </w:r>
            <w:r>
              <w:rPr>
                <w:color w:val="020c22"/>
                <w:sz w:val="20"/>
                <w:szCs w:val="20"/>
              </w:rPr>
              <w:t xml:space="preserve"> гражданства)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color w:val="020c22"/>
                <w:sz w:val="20"/>
                <w:szCs w:val="20"/>
              </w:rPr>
              <w:t xml:space="preserve">Являюсь </w:t>
            </w:r>
            <w:r>
              <w:rPr>
                <w:b/>
                <w:color w:val="020c22"/>
                <w:sz w:val="20"/>
                <w:szCs w:val="20"/>
              </w:rPr>
              <w:t xml:space="preserve">налоговым резидентом</w:t>
            </w:r>
            <w:r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(ДА/НЕТ)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color w:val="020c22"/>
                <w:sz w:val="20"/>
                <w:szCs w:val="20"/>
              </w:rPr>
              <w:t xml:space="preserve">Имею </w:t>
            </w:r>
            <w:r>
              <w:rPr>
                <w:b/>
                <w:color w:val="020c22"/>
                <w:sz w:val="20"/>
                <w:szCs w:val="20"/>
              </w:rPr>
              <w:t xml:space="preserve">вид(-ы) на жительство </w:t>
            </w:r>
            <w:r>
              <w:rPr>
                <w:color w:val="020c22"/>
                <w:sz w:val="20"/>
                <w:szCs w:val="20"/>
              </w:rPr>
              <w:t xml:space="preserve">(адрес регистрации) в иностранном государстве*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(ДА/НЕТ)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*заполняется при ответе «Да» на вопрос из столбца 3</w:t>
            </w:r>
            <w:r>
              <w:rPr>
                <w:color w:val="020c22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Перечень стран,</w:t>
            </w:r>
            <w:r>
              <w:rPr>
                <w:color w:val="020c22"/>
                <w:sz w:val="20"/>
                <w:szCs w:val="20"/>
              </w:rPr>
              <w:t xml:space="preserve"> в которых имею вид(-ы) на жительство (адрес регистрации)*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*заполняется при ответе «Да» на вопрос из столбца 4</w:t>
            </w:r>
            <w:r>
              <w:rPr>
                <w:color w:val="020c22"/>
                <w:sz w:val="18"/>
                <w:szCs w:val="18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1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2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3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4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5</w:t>
            </w:r>
            <w:r>
              <w:rPr>
                <w:color w:val="020c22"/>
                <w:sz w:val="22"/>
                <w:szCs w:val="22"/>
              </w:rPr>
            </w:r>
          </w:p>
        </w:tc>
      </w:tr>
      <w:tr>
        <w:tblPrEx/>
        <w:trPr>
          <w:trHeight w:val="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</w:tr>
    </w:tbl>
    <w:p>
      <w:pPr>
        <w:pStyle w:val="746"/>
        <w:ind w:left="426" w:firstLine="0"/>
        <w:jc w:val="both"/>
        <w:spacing w:line="288" w:lineRule="auto"/>
        <w:tabs>
          <w:tab w:val="clear" w:pos="708" w:leader="none"/>
          <w:tab w:val="left" w:pos="851" w:leader="none"/>
        </w:tabs>
        <w:rPr>
          <w:rFonts w:eastAsia="Times New Roman"/>
          <w:color w:val="020c22"/>
          <w:sz w:val="12"/>
          <w:szCs w:val="22"/>
          <w:lang w:val="en-US"/>
        </w:rPr>
      </w:pPr>
      <w:r>
        <w:rPr>
          <w:rFonts w:eastAsia="Times New Roman"/>
          <w:color w:val="020c22"/>
          <w:sz w:val="12"/>
          <w:szCs w:val="22"/>
          <w:lang w:val="en-US"/>
        </w:rPr>
      </w:r>
      <w:r>
        <w:rPr>
          <w:rFonts w:eastAsia="Times New Roman"/>
          <w:color w:val="020c22"/>
          <w:sz w:val="12"/>
          <w:szCs w:val="22"/>
          <w:lang w:val="en-US"/>
        </w:rPr>
      </w:r>
    </w:p>
    <w:p>
      <w:pPr>
        <w:pStyle w:val="746"/>
        <w:jc w:val="both"/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Подписанием настоящего документа заверяю и подтверждаю (в том числе, но не исключительно, в целях 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</w:t>
      </w:r>
      <w:r>
        <w:rPr>
          <w:rFonts w:eastAsia="SimSun;宋体"/>
          <w:color w:val="000000"/>
          <w:szCs w:val="20"/>
          <w:lang w:eastAsia="en-US"/>
        </w:rPr>
        <w:t xml:space="preserve"> 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Указа Президента РФ № 126 от 18.03.2022 «О дополнительных временных мерах экономического характера по обеспечению финансов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  <w:r/>
    </w:p>
    <w:p>
      <w:pPr>
        <w:pStyle w:val="746"/>
        <w:jc w:val="both"/>
        <w:spacing w:line="288" w:lineRule="auto"/>
        <w:rPr>
          <w:rFonts w:eastAsia="SimSun;宋体"/>
          <w:color w:val="000000"/>
          <w:sz w:val="10"/>
          <w:szCs w:val="22"/>
          <w:lang w:eastAsia="en-US"/>
        </w:rPr>
      </w:pPr>
      <w:r>
        <w:rPr>
          <w:rFonts w:eastAsia="SimSun;宋体"/>
          <w:color w:val="000000"/>
          <w:sz w:val="10"/>
          <w:szCs w:val="22"/>
          <w:lang w:eastAsia="en-US"/>
        </w:rPr>
      </w:r>
      <w:r>
        <w:rPr>
          <w:rFonts w:eastAsia="SimSun;宋体"/>
          <w:color w:val="000000"/>
          <w:sz w:val="10"/>
          <w:szCs w:val="22"/>
          <w:lang w:eastAsia="en-US"/>
        </w:rPr>
      </w:r>
    </w:p>
    <w:tbl>
      <w:tblPr>
        <w:tblW w:w="10220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41"/>
        <w:gridCol w:w="6879"/>
      </w:tblGrid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1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/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ФИО ИП - </w:t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контрагента по сделке (операции)</w:t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9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1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/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Подпись</w:t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9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200" w:line="276" w:lineRule="auto"/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r>
            <w:r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r>
          </w:p>
        </w:tc>
      </w:tr>
    </w:tbl>
    <w:p>
      <w:pPr>
        <w:pStyle w:val="746"/>
        <w:rPr>
          <w:rFonts w:eastAsia="SimSun;宋体"/>
          <w:b/>
          <w:spacing w:val="26"/>
          <w:sz w:val="22"/>
          <w:szCs w:val="22"/>
          <w:lang w:eastAsia="en-US"/>
        </w:rPr>
      </w:pPr>
      <w:r>
        <w:rPr>
          <w:rFonts w:eastAsia="SimSun;宋体"/>
          <w:b/>
          <w:spacing w:val="26"/>
          <w:sz w:val="22"/>
          <w:szCs w:val="22"/>
          <w:lang w:eastAsia="en-US"/>
        </w:rPr>
      </w:r>
      <w:r>
        <w:br w:type="page" w:clear="all"/>
      </w:r>
      <w:r>
        <w:rPr>
          <w:rFonts w:eastAsia="SimSun;宋体"/>
          <w:b/>
          <w:spacing w:val="26"/>
          <w:sz w:val="22"/>
          <w:szCs w:val="22"/>
          <w:lang w:eastAsia="en-US"/>
        </w:rPr>
      </w:r>
    </w:p>
    <w:p>
      <w:pPr>
        <w:pStyle w:val="746"/>
        <w:jc w:val="center"/>
      </w:pPr>
      <w:r>
        <w:rPr>
          <w:rFonts w:eastAsia="SimSun;宋体"/>
          <w:b/>
          <w:spacing w:val="26"/>
          <w:sz w:val="22"/>
          <w:szCs w:val="22"/>
          <w:lang w:eastAsia="en-US"/>
        </w:rPr>
        <w:t xml:space="preserve">ЗАВЕРЕНИЕ КОНТРАГЕНТА ФИЗИЧЕСКОГО ЛИЦА</w:t>
      </w:r>
      <w:r/>
    </w:p>
    <w:p>
      <w:pPr>
        <w:pStyle w:val="746"/>
        <w:jc w:val="center"/>
        <w:rPr>
          <w:rFonts w:eastAsia="SimSun;宋体"/>
          <w:b/>
          <w:spacing w:val="26"/>
          <w:sz w:val="14"/>
          <w:szCs w:val="22"/>
          <w:lang w:eastAsia="en-US"/>
        </w:rPr>
      </w:pPr>
      <w:r>
        <w:rPr>
          <w:rFonts w:eastAsia="SimSun;宋体"/>
          <w:b/>
          <w:spacing w:val="26"/>
          <w:sz w:val="14"/>
          <w:szCs w:val="22"/>
          <w:lang w:eastAsia="en-US"/>
        </w:rPr>
      </w:r>
      <w:r>
        <w:rPr>
          <w:rFonts w:eastAsia="SimSun;宋体"/>
          <w:b/>
          <w:spacing w:val="26"/>
          <w:sz w:val="14"/>
          <w:szCs w:val="22"/>
          <w:lang w:eastAsia="en-US"/>
        </w:rPr>
      </w:r>
    </w:p>
    <w:p>
      <w:pPr>
        <w:pStyle w:val="746"/>
        <w:rPr>
          <w:rFonts w:eastAsia="SimSun;宋体"/>
          <w:b/>
          <w:sz w:val="22"/>
          <w:szCs w:val="22"/>
          <w:lang w:eastAsia="en-US"/>
        </w:rPr>
      </w:pPr>
      <w:r>
        <w:rPr>
          <w:rFonts w:eastAsia="SimSun;宋体"/>
          <w:b/>
          <w:sz w:val="22"/>
          <w:szCs w:val="22"/>
          <w:lang w:eastAsia="en-US"/>
        </w:rPr>
        <w:t xml:space="preserve">Дата _________</w:t>
      </w:r>
      <w:r>
        <w:rPr>
          <w:rFonts w:eastAsia="SimSun;宋体"/>
          <w:b/>
          <w:sz w:val="22"/>
          <w:szCs w:val="22"/>
          <w:lang w:eastAsia="en-US"/>
        </w:rPr>
      </w:r>
    </w:p>
    <w:p>
      <w:pPr>
        <w:pStyle w:val="746"/>
        <w:jc w:val="both"/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pPr>
      <w:r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r>
      <w:r>
        <w:rPr>
          <w:rFonts w:eastAsia="SimSun;宋体"/>
          <w:b/>
          <w:color w:val="595959"/>
          <w:sz w:val="22"/>
          <w:szCs w:val="22"/>
          <w:highlight w:val="yellow"/>
          <w:lang w:eastAsia="en-US"/>
        </w:rPr>
      </w:r>
    </w:p>
    <w:tbl>
      <w:tblPr>
        <w:tblW w:w="10307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6"/>
        <w:gridCol w:w="7631"/>
      </w:tblGrid>
      <w:tr>
        <w:tblPrEx/>
        <w:trPr>
          <w:trHeight w:val="51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ФИО ФЛ - контрагента по сделке (операции)</w:t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2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ДАТА РОЖДЕНИЯ ФЛ - контрагента по сделке (операции) </w:t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31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i/>
                <w:color w:val="2f5496"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i/>
                <w:color w:val="2f5496"/>
                <w:sz w:val="22"/>
                <w:szCs w:val="22"/>
                <w:lang w:eastAsia="en-US"/>
              </w:rPr>
            </w:r>
            <w:r>
              <w:rPr>
                <w:rFonts w:eastAsia="SimSun;宋体"/>
                <w:b/>
                <w:i/>
                <w:color w:val="2f5496"/>
                <w:sz w:val="22"/>
                <w:szCs w:val="22"/>
                <w:lang w:eastAsia="en-US"/>
              </w:rPr>
            </w:r>
          </w:p>
        </w:tc>
      </w:tr>
    </w:tbl>
    <w:p>
      <w:pPr>
        <w:pStyle w:val="746"/>
        <w:ind w:firstLine="709"/>
        <w:jc w:val="both"/>
        <w:rPr>
          <w:rFonts w:eastAsia="SimSun;宋体"/>
          <w:color w:val="000000"/>
          <w:sz w:val="12"/>
          <w:szCs w:val="22"/>
          <w:highlight w:val="yellow"/>
          <w:lang w:eastAsia="en-US"/>
        </w:rPr>
      </w:pPr>
      <w:r>
        <w:rPr>
          <w:rFonts w:eastAsia="SimSun;宋体"/>
          <w:color w:val="000000"/>
          <w:sz w:val="12"/>
          <w:szCs w:val="22"/>
          <w:highlight w:val="yellow"/>
          <w:lang w:eastAsia="en-US"/>
        </w:rPr>
      </w:r>
      <w:r>
        <w:rPr>
          <w:rFonts w:eastAsia="SimSun;宋体"/>
          <w:color w:val="000000"/>
          <w:sz w:val="12"/>
          <w:szCs w:val="22"/>
          <w:highlight w:val="yellow"/>
          <w:lang w:eastAsia="en-US"/>
        </w:rPr>
      </w:r>
    </w:p>
    <w:p>
      <w:pPr>
        <w:pStyle w:val="746"/>
        <w:jc w:val="both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numPr>
          <w:ilvl w:val="0"/>
          <w:numId w:val="4"/>
        </w:numPr>
        <w:contextualSpacing/>
        <w:ind w:left="426" w:hanging="284"/>
        <w:jc w:val="both"/>
        <w:spacing w:before="0" w:after="0"/>
        <w:rPr>
          <w:rFonts w:eastAsia="SimSun;宋体"/>
          <w:color w:val="000000"/>
          <w:sz w:val="22"/>
          <w:szCs w:val="22"/>
          <w:lang w:eastAsia="en-US"/>
        </w:rPr>
      </w:pPr>
      <w:r>
        <w:rPr>
          <w:rFonts w:eastAsia="SimSun;宋体"/>
          <w:b/>
          <w:color w:val="000000"/>
          <w:sz w:val="22"/>
          <w:szCs w:val="22"/>
          <w:lang w:eastAsia="en-US"/>
        </w:rPr>
        <w:t xml:space="preserve">НЕ ЯВЛЯЮСЬ/ЯВЛЯЮСЬ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 </w:t>
      </w:r>
      <w:r>
        <w:rPr>
          <w:rFonts w:eastAsia="SimSun;宋体"/>
          <w:i/>
          <w:color w:val="000000"/>
          <w:sz w:val="22"/>
          <w:szCs w:val="22"/>
          <w:lang w:eastAsia="en-US"/>
        </w:rPr>
        <w:t xml:space="preserve">(ненужное зачеркнуть)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 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 лицом, связанным с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иностранными государствами, которые совершают 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отношении российских юридических лиц и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физических лиц недружественные действия (в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>
        <w:rPr>
          <w:rFonts w:eastAsia="SimSun;宋体"/>
          <w:color w:val="020c22"/>
          <w:sz w:val="22"/>
          <w:szCs w:val="22"/>
          <w:lang w:val="en-GB" w:eastAsia="en-US"/>
        </w:rPr>
        <w:t xml:space="preserve"> </w:t>
      </w:r>
      <w:r>
        <w:rPr>
          <w:rFonts w:eastAsia="SimSun;宋体"/>
          <w:color w:val="020c22"/>
          <w:sz w:val="22"/>
          <w:szCs w:val="22"/>
          <w:lang w:eastAsia="en-US"/>
        </w:rPr>
        <w:t xml:space="preserve">деятельности являются эти государства).</w:t>
      </w:r>
      <w:r>
        <w:rPr>
          <w:rFonts w:eastAsia="SimSun;宋体"/>
          <w:color w:val="000000"/>
          <w:sz w:val="22"/>
          <w:szCs w:val="22"/>
          <w:lang w:eastAsia="en-US"/>
        </w:rPr>
      </w:r>
    </w:p>
    <w:p>
      <w:pPr>
        <w:pStyle w:val="746"/>
        <w:contextualSpacing/>
        <w:ind w:left="1080" w:firstLine="0"/>
        <w:jc w:val="both"/>
        <w:spacing w:before="0" w:after="0"/>
        <w:rPr>
          <w:rFonts w:eastAsia="SimSun;宋体"/>
          <w:color w:val="020c22"/>
          <w:sz w:val="12"/>
          <w:szCs w:val="22"/>
          <w:lang w:eastAsia="en-US"/>
        </w:rPr>
      </w:pPr>
      <w:r>
        <w:rPr>
          <w:rFonts w:eastAsia="SimSun;宋体"/>
          <w:color w:val="020c22"/>
          <w:sz w:val="12"/>
          <w:szCs w:val="22"/>
          <w:lang w:eastAsia="en-US"/>
        </w:rPr>
      </w:r>
      <w:r>
        <w:rPr>
          <w:rFonts w:eastAsia="SimSun;宋体"/>
          <w:color w:val="020c22"/>
          <w:sz w:val="12"/>
          <w:szCs w:val="22"/>
          <w:lang w:eastAsia="en-US"/>
        </w:rPr>
      </w:r>
    </w:p>
    <w:tbl>
      <w:tblPr>
        <w:tblW w:w="10105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>
        <w:tblPrEx/>
        <w:trPr>
          <w:trHeight w:val="1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Номер, серия документа, удостоверяющего личность, 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и место регистрации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b/>
                <w:color w:val="020c22"/>
                <w:sz w:val="20"/>
                <w:szCs w:val="20"/>
              </w:rPr>
            </w:pPr>
            <w:r>
              <w:rPr>
                <w:b/>
                <w:color w:val="020c22"/>
                <w:sz w:val="20"/>
                <w:szCs w:val="20"/>
              </w:rPr>
            </w:r>
            <w:r>
              <w:rPr>
                <w:b/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Гражданство</w:t>
            </w:r>
            <w:r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>
              <w:rPr>
                <w:b/>
                <w:color w:val="020c22"/>
                <w:sz w:val="20"/>
                <w:szCs w:val="20"/>
              </w:rPr>
              <w:t xml:space="preserve">все имеющиеся</w:t>
            </w:r>
            <w:r>
              <w:rPr>
                <w:color w:val="020c22"/>
                <w:sz w:val="20"/>
                <w:szCs w:val="20"/>
              </w:rPr>
              <w:t xml:space="preserve"> гражданства)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color w:val="020c22"/>
                <w:sz w:val="20"/>
                <w:szCs w:val="20"/>
              </w:rPr>
              <w:t xml:space="preserve">Являюсь </w:t>
            </w:r>
            <w:r>
              <w:rPr>
                <w:b/>
                <w:color w:val="020c22"/>
                <w:sz w:val="20"/>
                <w:szCs w:val="20"/>
              </w:rPr>
              <w:t xml:space="preserve">налоговым резидентом</w:t>
            </w:r>
            <w:r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color w:val="020c22"/>
                <w:sz w:val="20"/>
                <w:szCs w:val="20"/>
              </w:rPr>
              <w:t xml:space="preserve">Имею </w:t>
            </w:r>
            <w:r>
              <w:rPr>
                <w:b/>
                <w:color w:val="020c22"/>
                <w:sz w:val="20"/>
                <w:szCs w:val="20"/>
              </w:rPr>
              <w:t xml:space="preserve">вид(-ы) на жительство </w:t>
            </w:r>
            <w:r>
              <w:rPr>
                <w:color w:val="020c22"/>
                <w:sz w:val="20"/>
                <w:szCs w:val="20"/>
              </w:rPr>
              <w:t xml:space="preserve">(адрес регистрации)*  в иностранном государстве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(ДА/НЕТ)</w:t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0"/>
                <w:szCs w:val="20"/>
              </w:rPr>
            </w:pPr>
            <w:r>
              <w:rPr>
                <w:color w:val="020c22"/>
                <w:sz w:val="10"/>
                <w:szCs w:val="20"/>
              </w:rPr>
            </w:r>
            <w:r>
              <w:rPr>
                <w:color w:val="020c22"/>
                <w:sz w:val="1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  <w:t xml:space="preserve">*заполняется при ответе «Да» на вопрос из столбца 3</w:t>
            </w:r>
            <w:r>
              <w:rPr>
                <w:color w:val="020c22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</w:pPr>
            <w:r>
              <w:rPr>
                <w:b/>
                <w:color w:val="020c22"/>
                <w:sz w:val="20"/>
                <w:szCs w:val="20"/>
              </w:rPr>
              <w:t xml:space="preserve">Перечень стран,</w:t>
            </w:r>
            <w:r>
              <w:rPr>
                <w:color w:val="020c22"/>
                <w:sz w:val="20"/>
                <w:szCs w:val="20"/>
              </w:rPr>
              <w:t xml:space="preserve"> в которых имею вид(-ы) на жительство (адрес регистрации)*</w:t>
            </w:r>
            <w:r/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0"/>
                <w:szCs w:val="20"/>
              </w:rPr>
            </w:pPr>
            <w:r>
              <w:rPr>
                <w:color w:val="020c22"/>
                <w:sz w:val="20"/>
                <w:szCs w:val="20"/>
              </w:rPr>
            </w:r>
            <w:r>
              <w:rPr>
                <w:color w:val="020c22"/>
                <w:sz w:val="20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8"/>
                <w:szCs w:val="20"/>
              </w:rPr>
            </w:pPr>
            <w:r>
              <w:rPr>
                <w:color w:val="020c22"/>
                <w:sz w:val="8"/>
                <w:szCs w:val="20"/>
              </w:rPr>
            </w:r>
            <w:r>
              <w:rPr>
                <w:color w:val="020c22"/>
                <w:sz w:val="8"/>
                <w:szCs w:val="20"/>
              </w:rPr>
            </w:r>
          </w:p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*заполняется при ответе «Да» на вопрос из столбца 4</w:t>
            </w:r>
            <w:r>
              <w:rPr>
                <w:color w:val="020c22"/>
                <w:sz w:val="18"/>
                <w:szCs w:val="18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1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2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3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4</w:t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  <w:t xml:space="preserve">5</w:t>
            </w:r>
            <w:r>
              <w:rPr>
                <w:color w:val="020c22"/>
                <w:sz w:val="22"/>
                <w:szCs w:val="22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746"/>
              <w:jc w:val="both"/>
              <w:spacing w:line="288" w:lineRule="auto"/>
              <w:tabs>
                <w:tab w:val="clear" w:pos="708" w:leader="none"/>
                <w:tab w:val="left" w:pos="851" w:leader="none"/>
              </w:tabs>
              <w:rPr>
                <w:color w:val="020c22"/>
                <w:sz w:val="22"/>
                <w:szCs w:val="22"/>
              </w:rPr>
            </w:pPr>
            <w:r>
              <w:rPr>
                <w:color w:val="020c22"/>
                <w:sz w:val="22"/>
                <w:szCs w:val="22"/>
              </w:rPr>
            </w:r>
            <w:r>
              <w:rPr>
                <w:color w:val="020c22"/>
                <w:sz w:val="22"/>
                <w:szCs w:val="22"/>
              </w:rPr>
            </w:r>
          </w:p>
        </w:tc>
      </w:tr>
    </w:tbl>
    <w:p>
      <w:pPr>
        <w:pStyle w:val="746"/>
        <w:ind w:left="426" w:firstLine="0"/>
        <w:jc w:val="both"/>
        <w:spacing w:line="288" w:lineRule="auto"/>
        <w:tabs>
          <w:tab w:val="clear" w:pos="708" w:leader="none"/>
          <w:tab w:val="left" w:pos="851" w:leader="none"/>
        </w:tabs>
        <w:rPr>
          <w:rFonts w:eastAsia="Times New Roman"/>
          <w:color w:val="020c22"/>
          <w:sz w:val="12"/>
          <w:szCs w:val="16"/>
          <w:lang w:val="en-US"/>
        </w:rPr>
      </w:pPr>
      <w:r>
        <w:rPr>
          <w:rFonts w:eastAsia="Times New Roman"/>
          <w:color w:val="020c22"/>
          <w:sz w:val="12"/>
          <w:szCs w:val="16"/>
          <w:lang w:val="en-US"/>
        </w:rPr>
      </w:r>
      <w:r>
        <w:rPr>
          <w:rFonts w:eastAsia="Times New Roman"/>
          <w:color w:val="020c22"/>
          <w:sz w:val="12"/>
          <w:szCs w:val="16"/>
          <w:lang w:val="en-US"/>
        </w:rPr>
      </w:r>
    </w:p>
    <w:p>
      <w:pPr>
        <w:pStyle w:val="746"/>
        <w:jc w:val="both"/>
      </w:pPr>
      <w:r>
        <w:rPr>
          <w:rFonts w:eastAsia="SimSun;宋体"/>
          <w:color w:val="000000"/>
          <w:sz w:val="22"/>
          <w:szCs w:val="22"/>
          <w:lang w:eastAsia="en-US"/>
        </w:rPr>
        <w:t xml:space="preserve"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</w:t>
      </w:r>
      <w:r>
        <w:rPr>
          <w:rFonts w:eastAsia="SimSun;宋体"/>
          <w:color w:val="000000"/>
          <w:sz w:val="22"/>
          <w:szCs w:val="22"/>
          <w:lang w:eastAsia="en-US"/>
        </w:rPr>
        <w:t xml:space="preserve">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  <w:r/>
    </w:p>
    <w:p>
      <w:pPr>
        <w:pStyle w:val="746"/>
        <w:jc w:val="both"/>
        <w:spacing w:line="288" w:lineRule="auto"/>
        <w:rPr>
          <w:rFonts w:eastAsia="SimSun;宋体"/>
          <w:color w:val="000000"/>
          <w:sz w:val="8"/>
          <w:szCs w:val="16"/>
          <w:lang w:eastAsia="en-US"/>
        </w:rPr>
      </w:pPr>
      <w:r>
        <w:rPr>
          <w:rFonts w:eastAsia="SimSun;宋体"/>
          <w:color w:val="000000"/>
          <w:sz w:val="8"/>
          <w:szCs w:val="16"/>
          <w:lang w:eastAsia="en-US"/>
        </w:rPr>
      </w:r>
      <w:r>
        <w:rPr>
          <w:rFonts w:eastAsia="SimSun;宋体"/>
          <w:color w:val="000000"/>
          <w:sz w:val="8"/>
          <w:szCs w:val="16"/>
          <w:lang w:eastAsia="en-US"/>
        </w:rPr>
      </w:r>
    </w:p>
    <w:tbl>
      <w:tblPr>
        <w:tblW w:w="10195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1"/>
        <w:gridCol w:w="6764"/>
      </w:tblGrid>
      <w:tr>
        <w:tblPrEx/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/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ФИО ФЛ </w:t>
            </w:r>
            <w:r>
              <w:rPr>
                <w:rFonts w:eastAsia="SimSun;宋体"/>
                <w:b/>
                <w:sz w:val="22"/>
                <w:szCs w:val="22"/>
                <w:lang w:eastAsia="en-US"/>
              </w:rPr>
              <w:t xml:space="preserve">- контрагента по сделке (операции)</w:t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4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/>
            </w:pP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Подпись</w:t>
            </w:r>
            <w:r>
              <w:rPr>
                <w:rFonts w:eastAsia="SimSun;宋体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eastAsia="SimSun;宋体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SimSun;宋体"/>
                <w:b/>
                <w:color w:val="000000"/>
                <w:sz w:val="22"/>
                <w:szCs w:val="22"/>
                <w:lang w:eastAsia="en-US"/>
              </w:rPr>
              <w:t xml:space="preserve">ФЛ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4" w:type="dxa"/>
            <w:vAlign w:val="center"/>
            <w:textDirection w:val="lrTb"/>
            <w:noWrap w:val="false"/>
          </w:tcPr>
          <w:p>
            <w:pPr>
              <w:pStyle w:val="746"/>
              <w:spacing w:before="0" w:after="200" w:line="276" w:lineRule="auto"/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pPr>
            <w:r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r>
            <w:r>
              <w:rPr>
                <w:rFonts w:eastAsia="SimSun;宋体"/>
                <w:b/>
                <w:color w:val="595959"/>
                <w:sz w:val="22"/>
                <w:szCs w:val="22"/>
                <w:lang w:val="en-GB" w:eastAsia="en-US"/>
              </w:rPr>
            </w:r>
          </w:p>
        </w:tc>
      </w:tr>
    </w:tbl>
    <w:p>
      <w:pPr>
        <w:pStyle w:val="746"/>
        <w:rPr>
          <w:rFonts w:eastAsia="SimSun;宋体"/>
          <w:sz w:val="22"/>
          <w:szCs w:val="22"/>
          <w:lang w:eastAsia="en-US"/>
        </w:rPr>
      </w:pPr>
      <w:r>
        <w:rPr>
          <w:rFonts w:eastAsia="SimSun;宋体"/>
          <w:sz w:val="22"/>
          <w:szCs w:val="22"/>
          <w:lang w:eastAsia="en-US"/>
        </w:rPr>
      </w:r>
      <w:r>
        <w:rPr>
          <w:rFonts w:eastAsia="SimSun;宋体"/>
          <w:sz w:val="22"/>
          <w:szCs w:val="22"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  <w:r>
        <w:rPr>
          <w:rFonts w:eastAsia="Times New Roman"/>
          <w:b/>
          <w:bCs/>
          <w:sz w:val="28"/>
          <w:szCs w:val="28"/>
          <w:u w:val="single"/>
          <w:lang w:eastAsia="en-US"/>
        </w:rPr>
      </w:r>
    </w:p>
    <w:p>
      <w:pPr>
        <w:pStyle w:val="746"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Приложение 2</w:t>
      </w:r>
      <w:r>
        <w:rPr>
          <w:rFonts w:eastAsia="Times New Roman"/>
          <w:b/>
          <w:bCs/>
          <w:lang w:eastAsia="en-US"/>
        </w:rPr>
      </w:r>
    </w:p>
    <w:p>
      <w:pPr>
        <w:pStyle w:val="746"/>
        <w:jc w:val="center"/>
        <w:rPr>
          <w:rFonts w:eastAsia="Times New Roman"/>
          <w:b/>
          <w:bCs/>
          <w:u w:val="single"/>
          <w:lang w:eastAsia="en-US"/>
        </w:rPr>
      </w:pPr>
      <w:r>
        <w:rPr>
          <w:rFonts w:eastAsia="Times New Roman"/>
          <w:b/>
          <w:bCs/>
          <w:u w:val="single"/>
          <w:lang w:eastAsia="en-US"/>
        </w:rPr>
        <w:t xml:space="preserve">Анкета претендента на участие в торгах: </w:t>
      </w:r>
      <w:r>
        <w:rPr>
          <w:rFonts w:eastAsia="Times New Roman"/>
          <w:b/>
          <w:bCs/>
          <w:u w:val="single"/>
          <w:lang w:eastAsia="en-US"/>
        </w:rPr>
      </w:r>
    </w:p>
    <w:p>
      <w:pPr>
        <w:pStyle w:val="746"/>
        <w:jc w:val="both"/>
        <w:rPr>
          <w:rFonts w:eastAsia="Times New Roman"/>
          <w:b/>
          <w:bCs/>
          <w:u w:val="single"/>
          <w:lang w:eastAsia="en-US"/>
        </w:rPr>
      </w:pPr>
      <w:r>
        <w:rPr>
          <w:rFonts w:eastAsia="Times New Roman"/>
          <w:b/>
          <w:bCs/>
          <w:u w:val="single"/>
          <w:lang w:eastAsia="en-US"/>
        </w:rPr>
      </w:r>
      <w:r>
        <w:rPr>
          <w:rFonts w:eastAsia="Times New Roman"/>
          <w:b/>
          <w:bCs/>
          <w:u w:val="single"/>
          <w:lang w:eastAsia="en-US"/>
        </w:rPr>
      </w:r>
    </w:p>
    <w:p>
      <w:pPr>
        <w:pStyle w:val="746"/>
        <w:jc w:val="both"/>
      </w:pPr>
      <w:r>
        <w:rPr>
          <w:rFonts w:eastAsia="Times New Roman"/>
          <w:i/>
          <w:iCs/>
          <w:lang w:eastAsia="en-US"/>
        </w:rPr>
        <w:t xml:space="preserve">Указываются данные претендента в соответствии с Заявкой.</w:t>
      </w:r>
      <w:r/>
    </w:p>
    <w:p>
      <w:pPr>
        <w:pStyle w:val="746"/>
        <w:jc w:val="both"/>
        <w:rPr>
          <w:rFonts w:eastAsia="Times New Roman"/>
          <w:i/>
          <w:iCs/>
          <w:lang w:eastAsia="en-US"/>
        </w:rPr>
      </w:pPr>
      <w:r>
        <w:rPr>
          <w:rFonts w:eastAsia="Times New Roman"/>
          <w:i/>
          <w:iCs/>
          <w:lang w:eastAsia="en-US"/>
        </w:rPr>
      </w:r>
      <w:r>
        <w:rPr>
          <w:rFonts w:eastAsia="Times New Roman"/>
          <w:i/>
          <w:iCs/>
          <w:lang w:eastAsia="en-US"/>
        </w:rPr>
      </w:r>
    </w:p>
    <w:p>
      <w:pPr>
        <w:pStyle w:val="746"/>
        <w:jc w:val="both"/>
      </w:pPr>
      <w:r>
        <w:t xml:space="preserve">СООБЩАЮ СЛЕДУЮЩЕЕ:</w:t>
      </w:r>
      <w:r/>
    </w:p>
    <w:tbl>
      <w:tblPr>
        <w:tblW w:w="5000" w:type="pct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"/>
        <w:gridCol w:w="6218"/>
        <w:gridCol w:w="1680"/>
        <w:gridCol w:w="15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п/п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8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Вопрос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Ответ «Да»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Ответ «Нет»</w:t>
            </w: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8" w:type="dxa"/>
            <w:vAlign w:val="center"/>
            <w:textDirection w:val="lrTb"/>
            <w:noWrap w:val="false"/>
          </w:tcPr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Являетесь   ли Вы  лицом,  указанным в Перечне? 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eastAsia="en-US"/>
              </w:rPr>
              <w:t xml:space="preserve">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eastAsia="en-US"/>
              </w:rPr>
              <w:t xml:space="preserve">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8" w:type="dxa"/>
            <w:vAlign w:val="center"/>
            <w:textDirection w:val="lrTb"/>
            <w:noWrap w:val="false"/>
          </w:tcPr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Являетесь ли Вы лицом, которое находится под контролем лиц, указанных в Перечне?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Лицо считается находящимся под контролем при наличии одного из признаков: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  <w:p>
            <w:pPr>
              <w:pStyle w:val="746"/>
              <w:jc w:val="both"/>
              <w:spacing w:before="0" w:after="160" w:line="256" w:lineRule="auto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  <w:r/>
          </w:p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  <w:p>
            <w:pPr>
              <w:pStyle w:val="746"/>
              <w:jc w:val="both"/>
              <w:spacing w:before="0" w:after="160" w:line="256" w:lineRule="auto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3) контролирующее лицо имеет право назначать единоличный исполнительный орган (ЕИО) и (или) боле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  <w:r/>
          </w:p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4) контролирующее лицо осуществляет полномочия управляющей компании контролируемого лица.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eastAsia="en-US"/>
              </w:rPr>
              <w:t xml:space="preserve">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eastAsia="en-US"/>
              </w:rPr>
              <w:t xml:space="preserve">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8" w:type="dxa"/>
            <w:vAlign w:val="center"/>
            <w:textDirection w:val="lrTb"/>
            <w:noWrap w:val="false"/>
          </w:tcPr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Являетесь ли Вы лицом, которое находится в собственности лиц, указанных в Перечне?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  <w:p>
            <w:pPr>
              <w:pStyle w:val="746"/>
              <w:jc w:val="both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Лицо считается находящимся в  собственности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  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eastAsia="en-US"/>
              </w:rPr>
              <w:t xml:space="preserve">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Style w:val="746"/>
              <w:jc w:val="center"/>
              <w:spacing w:before="0" w:after="160"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eastAsia="en-US"/>
              </w:rPr>
              <w:t xml:space="preserve"></w:t>
            </w:r>
            <w:r>
              <w:rPr>
                <w:rFonts w:eastAsia="Times New Roman"/>
                <w:sz w:val="22"/>
                <w:szCs w:val="22"/>
                <w:lang w:eastAsia="en-US"/>
              </w:rPr>
            </w:r>
          </w:p>
        </w:tc>
      </w:tr>
    </w:tbl>
    <w:p>
      <w:pPr>
        <w:pStyle w:val="746"/>
        <w:jc w:val="center"/>
        <w:spacing w:before="0" w:after="160" w:line="25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  <w:r>
        <w:rPr>
          <w:rFonts w:eastAsia="Times New Roman"/>
          <w:lang w:eastAsia="en-US"/>
        </w:rPr>
      </w:r>
    </w:p>
    <w:p>
      <w:pPr>
        <w:pStyle w:val="746"/>
        <w:jc w:val="both"/>
        <w:spacing w:before="0" w:after="160" w:line="256" w:lineRule="auto"/>
      </w:pPr>
      <w:r>
        <w:rPr>
          <w:rFonts w:eastAsia="Times New Roman"/>
          <w:u w:val="single"/>
          <w:lang w:eastAsia="en-US"/>
        </w:rPr>
        <w:t xml:space="preserve">Дата                                     Подпись претендента                          ФИО претендента</w:t>
      </w:r>
      <w:r/>
    </w:p>
    <w:p>
      <w:pPr>
        <w:pStyle w:val="746"/>
        <w:jc w:val="center"/>
        <w:spacing w:before="0" w:after="160" w:line="256" w:lineRule="auto"/>
        <w:rPr>
          <w:rFonts w:eastAsia="Times New Roman"/>
          <w:u w:val="single"/>
          <w:lang w:eastAsia="en-US"/>
        </w:rPr>
      </w:pPr>
      <w:r>
        <w:rPr>
          <w:rFonts w:eastAsia="Times New Roman"/>
          <w:u w:val="single"/>
          <w:lang w:eastAsia="en-US"/>
        </w:rPr>
      </w:r>
      <w:r>
        <w:rPr>
          <w:rFonts w:eastAsia="Times New Roman"/>
          <w:u w:val="single"/>
          <w:lang w:eastAsia="en-US"/>
        </w:rPr>
      </w:r>
    </w:p>
    <w:p>
      <w:pPr>
        <w:pStyle w:val="746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  <w:r>
        <w:rPr>
          <w:rFonts w:eastAsia="Times New Roman"/>
          <w:lang w:eastAsia="en-US"/>
        </w:rPr>
      </w:r>
    </w:p>
    <w:p>
      <w:pPr>
        <w:pStyle w:val="746"/>
        <w:numPr>
          <w:ilvl w:val="0"/>
          <w:numId w:val="0"/>
        </w:numPr>
        <w:ind w:firstLine="567"/>
        <w:jc w:val="both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</w:p>
    <w:sectPr>
      <w:footnotePr>
        <w:numFmt w:val="decimal"/>
      </w:footnotePr>
      <w:endnotePr/>
      <w:type w:val="nextPage"/>
      <w:pgSz w:w="11906" w:h="16838" w:orient="portrait"/>
      <w:pgMar w:top="851" w:right="851" w:bottom="993" w:left="99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Times/Cyrillic;Times New Roman"/>
  <w:font w:name="Verdana">
    <w:panose1 w:val="020B0603030804020204"/>
  </w:font>
  <w:font w:name="Tahoma">
    <w:panose1 w:val="020B0506030602030204"/>
  </w:font>
  <w:font w:name="Wingdings">
    <w:panose1 w:val="05010000000000000000"/>
  </w:font>
  <w:font w:name="SimSun;宋体"/>
  <w:font w:name="Courier New">
    <w:panose1 w:val="02070409020205020404"/>
  </w:font>
  <w:font w:name="MS Mincho;ＭＳ 明朝"/>
  <w:font w:name="Symbol">
    <w:panose1 w:val="05010000000000000000"/>
  </w:font>
  <w:font w:name="NewsGothic_A.Z_PS;Courier New"/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Wingdings 2">
    <w:panose1 w:val="05040102010807070707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818"/>
        <w:jc w:val="both"/>
      </w:pPr>
      <w:r>
        <w:rPr>
          <w:rStyle w:val="792"/>
        </w:rPr>
        <w:footnoteRef/>
      </w:r>
      <w:r>
        <w:rPr>
          <w:i/>
          <w:iCs/>
        </w:rPr>
        <w:t xml:space="preserve">   </w:t>
      </w:r>
      <w:r>
        <w:rPr>
          <w:i/>
          <w:iCs/>
        </w:rPr>
        <w:t xml:space="preserve">Физические  и юридические  лица,  поименованными непосредственно  в   Перечне, а   также организации,</w:t>
      </w:r>
      <w:r/>
    </w:p>
    <w:p>
      <w:pPr>
        <w:pStyle w:val="818"/>
        <w:jc w:val="both"/>
        <w:rPr>
          <w:i/>
          <w:iCs/>
        </w:rPr>
      </w:pPr>
      <w:r>
        <w:rPr>
          <w:i/>
          <w:iCs/>
        </w:rPr>
        <w:t xml:space="preserve">находящиеся  в их собственности  или под их контролем (далее – Субъекты  санкций РФ) </w:t>
      </w:r>
      <w:r>
        <w:rPr>
          <w:i/>
          <w:iCs/>
        </w:rPr>
      </w:r>
    </w:p>
    <w:p>
      <w:pPr>
        <w:pStyle w:val="818"/>
        <w:jc w:val="both"/>
        <w:rPr>
          <w:i/>
          <w:iCs/>
        </w:rPr>
      </w:pPr>
      <w:r>
        <w:rPr>
          <w:i/>
          <w:iCs/>
        </w:rPr>
        <w:t xml:space="preserve"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  <w:r>
        <w:rPr>
          <w:i/>
          <w:iCs/>
        </w:rPr>
      </w:r>
    </w:p>
    <w:p>
      <w:pPr>
        <w:pStyle w:val="818"/>
        <w:jc w:val="both"/>
        <w:rPr>
          <w:i/>
          <w:iCs/>
        </w:rPr>
      </w:pPr>
      <w:r>
        <w:rPr>
          <w:i/>
          <w:iCs/>
        </w:rPr>
        <w:t xml:space="preserve">Лицо признается Контролирующим лицом организации при наличии одного из следующих признаков:</w:t>
      </w:r>
      <w:r>
        <w:rPr>
          <w:i/>
          <w:iCs/>
        </w:rPr>
      </w:r>
    </w:p>
    <w:p>
      <w:pPr>
        <w:pStyle w:val="818"/>
        <w:jc w:val="both"/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</w:t>
      </w:r>
      <w:r>
        <w:rPr>
          <w:i/>
          <w:iCs/>
        </w:rPr>
        <w:t xml:space="preserve">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</w:t>
      </w:r>
      <w:r>
        <w:rPr>
          <w:i/>
          <w:iCs/>
        </w:rPr>
        <w:t xml:space="preserve">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  <w:r/>
    </w:p>
    <w:p>
      <w:pPr>
        <w:pStyle w:val="818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  <w:r>
        <w:rPr>
          <w:i/>
          <w:iCs/>
        </w:rPr>
      </w:r>
    </w:p>
    <w:p>
      <w:pPr>
        <w:pStyle w:val="818"/>
        <w:jc w:val="both"/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</w:t>
      </w:r>
      <w:r>
        <w:rPr>
          <w:i/>
          <w:iCs/>
        </w:rPr>
        <w:t xml:space="preserve">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  <w:r/>
    </w:p>
    <w:p>
      <w:pPr>
        <w:pStyle w:val="818"/>
        <w:jc w:val="both"/>
        <w:rPr>
          <w:i/>
          <w:iCs/>
        </w:rPr>
      </w:pPr>
      <w:r>
        <w:rPr>
          <w:i/>
          <w:iCs/>
        </w:rPr>
        <w:t xml:space="preserve">4) контролирующее лицо осуществляет полномочия управляющей компании контролируемого лица.</w:t>
      </w:r>
      <w:r>
        <w:rPr>
          <w:i/>
          <w:iCs/>
        </w:rPr>
      </w:r>
    </w:p>
    <w:p>
      <w:pPr>
        <w:pStyle w:val="81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</w:r>
    </w:p>
  </w:footnote>
  <w:footnote w:id="3">
    <w:p>
      <w:pPr>
        <w:pStyle w:val="818"/>
      </w:pPr>
      <w:r>
        <w:rPr>
          <w:rStyle w:val="792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 xml:space="preserve">Термин изменяется в зависимости от организационно-правовой формы.</w:t>
      </w:r>
      <w:r/>
    </w:p>
  </w:footnote>
  <w:footnote w:id="4">
    <w:p>
      <w:pPr>
        <w:pStyle w:val="818"/>
        <w:jc w:val="both"/>
      </w:pPr>
      <w:r>
        <w:rPr>
          <w:rStyle w:val="792"/>
        </w:rPr>
        <w:footnoteRef/>
      </w:r>
      <w:r>
        <w:rPr>
          <w:color w:val="000000"/>
        </w:rPr>
        <w:t xml:space="preserve">  </w:t>
      </w:r>
      <w:r>
        <w:rPr>
          <w:color w:val="000000"/>
        </w:rPr>
        <w:t xml:space="preserve">Ненужное зачеркнуть.</w:t>
      </w:r>
      <w:r/>
    </w:p>
  </w:footnote>
  <w:footnote w:id="5">
    <w:p>
      <w:pPr>
        <w:pStyle w:val="818"/>
        <w:jc w:val="both"/>
      </w:pPr>
      <w:r>
        <w:rPr>
          <w:rStyle w:val="792"/>
        </w:rPr>
        <w:footnoteRef/>
      </w:r>
      <w:r>
        <w:t xml:space="preserve"> </w:t>
      </w:r>
      <w:r>
        <w:t xml:space="preserve">Под Госучастником понимаются государственные органы, государственные предприятия/ организации/ учреждения, государственные корпорации/государственные органы иностранного государства.</w:t>
      </w:r>
      <w:r/>
    </w:p>
  </w:footnote>
  <w:footnote w:id="6">
    <w:p>
      <w:pPr>
        <w:pStyle w:val="818"/>
      </w:pPr>
      <w:r>
        <w:rPr>
          <w:rStyle w:val="792"/>
        </w:rPr>
        <w:footnoteRef/>
      </w:r>
      <w:r>
        <w:t xml:space="preserve"> </w:t>
      </w:r>
      <w:r>
        <w:t xml:space="preserve">В отношении Госучастника заполняются 1, 3, 4 столбцы таблицы.</w:t>
      </w:r>
      <w:r/>
    </w:p>
  </w:footnote>
  <w:footnote w:id="7">
    <w:p>
      <w:pPr>
        <w:pStyle w:val="818"/>
      </w:pPr>
      <w:r>
        <w:rPr>
          <w:rStyle w:val="792"/>
        </w:rPr>
        <w:footnoteRef/>
      </w:r>
      <w:r>
        <w:t xml:space="preserve"> </w:t>
      </w:r>
      <w:r>
        <w:t xml:space="preserve">Документ, удостоверяющий личность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7" w:hanging="93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87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74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6"/>
    <w:next w:val="7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6"/>
    <w:next w:val="7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6"/>
    <w:next w:val="7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6"/>
    <w:next w:val="7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6"/>
    <w:next w:val="7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6"/>
    <w:next w:val="7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6"/>
    <w:next w:val="7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6"/>
    <w:next w:val="7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6"/>
    <w:next w:val="7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6"/>
    <w:next w:val="7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6"/>
    <w:next w:val="7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6"/>
    <w:next w:val="7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805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18"/>
    <w:uiPriority w:val="99"/>
    <w:rPr>
      <w:sz w:val="18"/>
    </w:rPr>
  </w:style>
  <w:style w:type="paragraph" w:styleId="178">
    <w:name w:val="endnote text"/>
    <w:basedOn w:val="7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1">
    <w:name w:val="toc 1"/>
    <w:basedOn w:val="746"/>
    <w:next w:val="7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6"/>
    <w:next w:val="7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6"/>
    <w:next w:val="7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6"/>
    <w:next w:val="7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6"/>
    <w:next w:val="7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6"/>
    <w:next w:val="7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6"/>
    <w:next w:val="7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6"/>
    <w:next w:val="7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6"/>
    <w:next w:val="746"/>
    <w:uiPriority w:val="99"/>
    <w:unhideWhenUsed/>
    <w:pPr>
      <w:spacing w:after="0" w:afterAutospacing="0"/>
    </w:pPr>
  </w:style>
  <w:style w:type="paragraph" w:styleId="746" w:default="1">
    <w:name w:val="Normal"/>
    <w:qFormat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747">
    <w:name w:val="Heading 1"/>
    <w:basedOn w:val="746"/>
    <w:next w:val="746"/>
    <w:qFormat/>
    <w:pPr>
      <w:numPr>
        <w:ilvl w:val="0"/>
        <w:numId w:val="1"/>
      </w:numPr>
      <w:jc w:val="center"/>
      <w:keepNext/>
      <w:outlineLvl w:val="0"/>
    </w:pPr>
    <w:rPr>
      <w:rFonts w:eastAsia="Times New Roman"/>
      <w:b/>
      <w:bCs/>
      <w:lang w:val="en-US"/>
    </w:rPr>
  </w:style>
  <w:style w:type="character" w:styleId="748">
    <w:name w:val="WW8Num1z0"/>
    <w:qFormat/>
  </w:style>
  <w:style w:type="character" w:styleId="749">
    <w:name w:val="WW8Num3z0"/>
    <w:qFormat/>
  </w:style>
  <w:style w:type="character" w:styleId="750">
    <w:name w:val="WW8Num5z0"/>
    <w:qFormat/>
    <w:rPr>
      <w:rFonts w:ascii="Symbol" w:hAnsi="Symbol" w:cs="Symbol"/>
    </w:rPr>
  </w:style>
  <w:style w:type="character" w:styleId="751">
    <w:name w:val="WW8Num5z1"/>
    <w:qFormat/>
    <w:rPr>
      <w:rFonts w:ascii="Courier New" w:hAnsi="Courier New" w:cs="Courier New"/>
    </w:rPr>
  </w:style>
  <w:style w:type="character" w:styleId="752">
    <w:name w:val="WW8Num5z2"/>
    <w:qFormat/>
    <w:rPr>
      <w:rFonts w:ascii="Wingdings" w:hAnsi="Wingdings" w:cs="Wingdings"/>
    </w:rPr>
  </w:style>
  <w:style w:type="character" w:styleId="753">
    <w:name w:val="WW8Num6z0"/>
    <w:qFormat/>
  </w:style>
  <w:style w:type="character" w:styleId="754">
    <w:name w:val="WW8Num7z0"/>
    <w:qFormat/>
    <w:rPr>
      <w:rFonts w:ascii="Symbol" w:hAnsi="Symbol" w:cs="Symbol"/>
    </w:rPr>
  </w:style>
  <w:style w:type="character" w:styleId="755">
    <w:name w:val="WW8Num7z1"/>
    <w:qFormat/>
    <w:rPr>
      <w:rFonts w:ascii="Courier New" w:hAnsi="Courier New" w:cs="Courier New"/>
    </w:rPr>
  </w:style>
  <w:style w:type="character" w:styleId="756">
    <w:name w:val="WW8Num7z2"/>
    <w:qFormat/>
    <w:rPr>
      <w:rFonts w:ascii="Wingdings" w:hAnsi="Wingdings" w:cs="Wingdings"/>
    </w:rPr>
  </w:style>
  <w:style w:type="character" w:styleId="757">
    <w:name w:val="WW8Num8z0"/>
    <w:qFormat/>
  </w:style>
  <w:style w:type="character" w:styleId="758">
    <w:name w:val="WW8Num8z1"/>
    <w:qFormat/>
    <w:rPr>
      <w:b w:val="0"/>
    </w:rPr>
  </w:style>
  <w:style w:type="character" w:styleId="759">
    <w:name w:val="WW8Num9z0"/>
    <w:qFormat/>
  </w:style>
  <w:style w:type="character" w:styleId="760">
    <w:name w:val="WW8Num10z0"/>
    <w:qFormat/>
  </w:style>
  <w:style w:type="character" w:styleId="761">
    <w:name w:val="WW8Num11z0"/>
    <w:qFormat/>
  </w:style>
  <w:style w:type="character" w:styleId="762">
    <w:name w:val="WW8Num12z0"/>
    <w:qFormat/>
    <w:rPr>
      <w:rFonts w:ascii="Symbol" w:hAnsi="Symbol" w:cs="Symbol"/>
    </w:rPr>
  </w:style>
  <w:style w:type="character" w:styleId="763">
    <w:name w:val="WW8Num12z1"/>
    <w:qFormat/>
    <w:rPr>
      <w:rFonts w:ascii="Courier New" w:hAnsi="Courier New" w:cs="Courier New"/>
    </w:rPr>
  </w:style>
  <w:style w:type="character" w:styleId="764">
    <w:name w:val="WW8Num12z2"/>
    <w:qFormat/>
    <w:rPr>
      <w:rFonts w:ascii="Wingdings" w:hAnsi="Wingdings" w:cs="Wingdings"/>
    </w:rPr>
  </w:style>
  <w:style w:type="character" w:styleId="765">
    <w:name w:val="WW8Num14z0"/>
    <w:qFormat/>
  </w:style>
  <w:style w:type="character" w:styleId="766">
    <w:name w:val="WW8Num15z1"/>
    <w:qFormat/>
    <w:rPr>
      <w:b w:val="0"/>
    </w:rPr>
  </w:style>
  <w:style w:type="character" w:styleId="767">
    <w:name w:val="WW8Num16z0"/>
    <w:qFormat/>
    <w:rPr>
      <w:rFonts w:ascii="Symbol" w:hAnsi="Symbol" w:cs="Symbol"/>
    </w:rPr>
  </w:style>
  <w:style w:type="character" w:styleId="768">
    <w:name w:val="WW8Num16z1"/>
    <w:qFormat/>
    <w:rPr>
      <w:rFonts w:ascii="Courier New" w:hAnsi="Courier New" w:cs="Courier New"/>
    </w:rPr>
  </w:style>
  <w:style w:type="character" w:styleId="769">
    <w:name w:val="WW8Num16z2"/>
    <w:qFormat/>
    <w:rPr>
      <w:rFonts w:ascii="Wingdings" w:hAnsi="Wingdings" w:cs="Wingdings"/>
    </w:rPr>
  </w:style>
  <w:style w:type="character" w:styleId="770">
    <w:name w:val="WW8Num17z0"/>
    <w:qFormat/>
  </w:style>
  <w:style w:type="character" w:styleId="771">
    <w:name w:val="WW8Num18z0"/>
    <w:qFormat/>
    <w:rPr>
      <w:rFonts w:ascii="Symbol" w:hAnsi="Symbol" w:cs="Symbol"/>
    </w:rPr>
  </w:style>
  <w:style w:type="character" w:styleId="772">
    <w:name w:val="WW8Num18z1"/>
    <w:qFormat/>
    <w:rPr>
      <w:rFonts w:ascii="Courier New" w:hAnsi="Courier New" w:cs="Courier New"/>
    </w:rPr>
  </w:style>
  <w:style w:type="character" w:styleId="773">
    <w:name w:val="WW8Num18z2"/>
    <w:qFormat/>
    <w:rPr>
      <w:rFonts w:ascii="Wingdings" w:hAnsi="Wingdings" w:cs="Wingdings"/>
    </w:rPr>
  </w:style>
  <w:style w:type="character" w:styleId="774">
    <w:name w:val="WW8Num19z0"/>
    <w:qFormat/>
    <w:rPr>
      <w:rFonts w:ascii="Symbol" w:hAnsi="Symbol" w:cs="Symbol"/>
    </w:rPr>
  </w:style>
  <w:style w:type="character" w:styleId="775">
    <w:name w:val="WW8Num19z1"/>
    <w:qFormat/>
    <w:rPr>
      <w:rFonts w:ascii="Courier New" w:hAnsi="Courier New" w:cs="Courier New"/>
    </w:rPr>
  </w:style>
  <w:style w:type="character" w:styleId="776">
    <w:name w:val="WW8Num19z2"/>
    <w:qFormat/>
    <w:rPr>
      <w:rFonts w:ascii="Wingdings" w:hAnsi="Wingdings" w:cs="Wingdings"/>
    </w:rPr>
  </w:style>
  <w:style w:type="character" w:styleId="777">
    <w:name w:val="WW8Num23z0"/>
    <w:qFormat/>
    <w:rPr>
      <w:rFonts w:ascii="Symbol" w:hAnsi="Symbol" w:cs="Symbol"/>
    </w:rPr>
  </w:style>
  <w:style w:type="character" w:styleId="778">
    <w:name w:val="WW8Num23z1"/>
    <w:qFormat/>
    <w:rPr>
      <w:rFonts w:ascii="Courier New" w:hAnsi="Courier New" w:cs="Courier New"/>
    </w:rPr>
  </w:style>
  <w:style w:type="character" w:styleId="779">
    <w:name w:val="WW8Num23z2"/>
    <w:qFormat/>
    <w:rPr>
      <w:rFonts w:ascii="Wingdings" w:hAnsi="Wingdings" w:cs="Wingdings"/>
    </w:rPr>
  </w:style>
  <w:style w:type="character" w:styleId="780">
    <w:name w:val="WW8Num24z0"/>
    <w:qFormat/>
    <w:rPr>
      <w:rFonts w:ascii="Symbol" w:hAnsi="Symbol" w:cs="Symbol"/>
    </w:rPr>
  </w:style>
  <w:style w:type="character" w:styleId="781">
    <w:name w:val="WW8Num24z1"/>
    <w:qFormat/>
    <w:rPr>
      <w:rFonts w:ascii="Courier New" w:hAnsi="Courier New" w:cs="Courier New"/>
    </w:rPr>
  </w:style>
  <w:style w:type="character" w:styleId="782">
    <w:name w:val="WW8Num24z2"/>
    <w:qFormat/>
    <w:rPr>
      <w:rFonts w:ascii="Wingdings" w:hAnsi="Wingdings" w:cs="Wingdings"/>
    </w:rPr>
  </w:style>
  <w:style w:type="character" w:styleId="783">
    <w:name w:val="WW8Num25z0"/>
    <w:qFormat/>
    <w:rPr>
      <w:rFonts w:ascii="Symbol" w:hAnsi="Symbol" w:cs="Symbol"/>
    </w:rPr>
  </w:style>
  <w:style w:type="character" w:styleId="784">
    <w:name w:val="WW8Num25z1"/>
    <w:qFormat/>
    <w:rPr>
      <w:rFonts w:ascii="Courier New" w:hAnsi="Courier New" w:cs="Courier New"/>
    </w:rPr>
  </w:style>
  <w:style w:type="character" w:styleId="785">
    <w:name w:val="WW8Num25z2"/>
    <w:qFormat/>
    <w:rPr>
      <w:rFonts w:ascii="Wingdings" w:hAnsi="Wingdings" w:cs="Wingdings"/>
    </w:rPr>
  </w:style>
  <w:style w:type="character" w:styleId="786">
    <w:name w:val="Основной шрифт абзаца"/>
    <w:qFormat/>
  </w:style>
  <w:style w:type="character" w:styleId="787">
    <w:name w:val="Strong"/>
    <w:qFormat/>
    <w:rPr>
      <w:rFonts w:cs="Times New Roman"/>
      <w:b/>
      <w:bCs/>
    </w:rPr>
  </w:style>
  <w:style w:type="character" w:styleId="788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789">
    <w:name w:val="Основной текст с отступом 3 Знак"/>
    <w:qFormat/>
    <w:rPr>
      <w:rFonts w:ascii="Times New Roman" w:hAnsi="Times New Roman" w:cs="Times New Roman"/>
      <w:sz w:val="16"/>
      <w:szCs w:val="16"/>
    </w:rPr>
  </w:style>
  <w:style w:type="character" w:styleId="790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791">
    <w:name w:val="Текст сноски Знак"/>
    <w:qFormat/>
    <w:rPr>
      <w:rFonts w:ascii="Times New Roman" w:hAnsi="Times New Roman" w:eastAsia="Times New Roman" w:cs="Times New Roman"/>
    </w:rPr>
  </w:style>
  <w:style w:type="character" w:styleId="792">
    <w:name w:val="Footnote Characters"/>
    <w:qFormat/>
    <w:rPr>
      <w:rFonts w:cs="Times New Roman"/>
      <w:vertAlign w:val="superscript"/>
    </w:rPr>
  </w:style>
  <w:style w:type="character" w:styleId="793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styleId="794">
    <w:name w:val="Hyperlink"/>
    <w:rPr>
      <w:color w:val="0563c1"/>
      <w:u w:val="single"/>
    </w:rPr>
  </w:style>
  <w:style w:type="character" w:styleId="795">
    <w:name w:val="Неразрешенное упоминание"/>
    <w:qFormat/>
    <w:rPr>
      <w:color w:val="605e5c"/>
      <w:shd w:val="clear" w:color="auto" w:fill="e1dfdd"/>
    </w:rPr>
  </w:style>
  <w:style w:type="character" w:styleId="796">
    <w:name w:val="Абзац списка Знак"/>
    <w:qFormat/>
    <w:rPr>
      <w:sz w:val="22"/>
      <w:szCs w:val="22"/>
    </w:rPr>
  </w:style>
  <w:style w:type="character" w:styleId="797">
    <w:name w:val="FollowedHyperlink"/>
    <w:rPr>
      <w:color w:val="954f72"/>
      <w:u w:val="single"/>
    </w:rPr>
  </w:style>
  <w:style w:type="character" w:styleId="798">
    <w:name w:val="Emphasis"/>
    <w:qFormat/>
    <w:rPr>
      <w:i/>
      <w:iCs/>
    </w:rPr>
  </w:style>
  <w:style w:type="character" w:styleId="799">
    <w:name w:val="footnote reference"/>
    <w:rPr>
      <w:vertAlign w:val="superscript"/>
    </w:rPr>
  </w:style>
  <w:style w:type="character" w:styleId="800">
    <w:name w:val="endnote reference"/>
    <w:rPr>
      <w:vertAlign w:val="superscript"/>
    </w:rPr>
  </w:style>
  <w:style w:type="character" w:styleId="801">
    <w:name w:val="Endnote Characters"/>
    <w:qFormat/>
  </w:style>
  <w:style w:type="paragraph" w:styleId="802">
    <w:name w:val="Heading"/>
    <w:basedOn w:val="746"/>
    <w:next w:val="80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03">
    <w:name w:val="Body Text"/>
    <w:basedOn w:val="746"/>
    <w:pPr>
      <w:spacing w:before="0" w:after="140" w:line="276" w:lineRule="auto"/>
    </w:pPr>
  </w:style>
  <w:style w:type="paragraph" w:styleId="804">
    <w:name w:val="List"/>
    <w:basedOn w:val="803"/>
  </w:style>
  <w:style w:type="paragraph" w:styleId="805">
    <w:name w:val="Caption"/>
    <w:basedOn w:val="74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06">
    <w:name w:val="Index"/>
    <w:basedOn w:val="746"/>
    <w:qFormat/>
    <w:pPr>
      <w:suppressLineNumbers/>
    </w:pPr>
  </w:style>
  <w:style w:type="paragraph" w:styleId="807">
    <w:name w:val="Знак Знак"/>
    <w:basedOn w:val="746"/>
    <w:qFormat/>
    <w:pPr>
      <w:spacing w:before="0" w:after="160" w:line="240" w:lineRule="exact"/>
    </w:pPr>
    <w:rPr>
      <w:rFonts w:ascii="Verdana" w:hAnsi="Verdana" w:eastAsia="MS Mincho;ＭＳ 明朝" w:cs="Verdana"/>
      <w:sz w:val="20"/>
      <w:szCs w:val="20"/>
      <w:lang w:val="en-GB"/>
    </w:rPr>
  </w:style>
  <w:style w:type="paragraph" w:styleId="808">
    <w:name w:val="Îáû÷íûé"/>
    <w:qFormat/>
    <w:pPr>
      <w:widowControl/>
    </w:pPr>
    <w:rPr>
      <w:rFonts w:ascii="NTTimes/Cyrillic;Times New Roman" w:hAnsi="NTTimes/Cyrillic;Times New Roman" w:eastAsia="Calibri" w:cs="NTTimes/Cyrillic;Times New Roman"/>
      <w:color w:val="auto"/>
      <w:sz w:val="24"/>
      <w:szCs w:val="24"/>
      <w:lang w:val="ru-RU" w:eastAsia="zh-CN" w:bidi="ar-SA"/>
    </w:rPr>
  </w:style>
  <w:style w:type="paragraph" w:styleId="809">
    <w:name w:val="Цитата"/>
    <w:basedOn w:val="746"/>
    <w:qFormat/>
    <w:pPr>
      <w:ind w:left="284" w:right="72" w:firstLine="0"/>
      <w:jc w:val="both"/>
    </w:pPr>
  </w:style>
  <w:style w:type="paragraph" w:styleId="810">
    <w:name w:val="готик текст"/>
    <w:qFormat/>
    <w:pPr>
      <w:ind w:firstLine="283"/>
      <w:jc w:val="both"/>
      <w:spacing w:line="240" w:lineRule="atLeast"/>
      <w:widowControl/>
      <w:tabs>
        <w:tab w:val="clear" w:pos="708" w:leader="none"/>
        <w:tab w:val="right" w:pos="4762" w:leader="dot"/>
      </w:tabs>
    </w:pPr>
    <w:rPr>
      <w:rFonts w:ascii="NewsGothic_A.Z_PS;Courier New" w:hAnsi="NewsGothic_A.Z_PS;Courier New" w:eastAsia="Calibri" w:cs="NewsGothic_A.Z_PS;Courier New"/>
      <w:color w:val="000000"/>
      <w:sz w:val="20"/>
      <w:szCs w:val="20"/>
      <w:lang w:val="ru-RU" w:eastAsia="zh-CN" w:bidi="ar-SA"/>
    </w:rPr>
  </w:style>
  <w:style w:type="paragraph" w:styleId="811">
    <w:name w:val="Pa11"/>
    <w:basedOn w:val="746"/>
    <w:next w:val="746"/>
    <w:qFormat/>
    <w:pPr>
      <w:spacing w:line="181" w:lineRule="atLeast"/>
    </w:pPr>
    <w:rPr>
      <w:rFonts w:ascii="Verdana" w:hAnsi="Verdana" w:eastAsia="Times New Roman" w:cs="Verdana"/>
    </w:rPr>
  </w:style>
  <w:style w:type="paragraph" w:styleId="812">
    <w:name w:val="Знак Знак1"/>
    <w:basedOn w:val="746"/>
    <w:qFormat/>
    <w:pPr>
      <w:spacing w:before="0" w:after="160" w:line="240" w:lineRule="exact"/>
    </w:pPr>
    <w:rPr>
      <w:rFonts w:ascii="Verdana" w:hAnsi="Verdana" w:eastAsia="MS Mincho;ＭＳ 明朝" w:cs="Verdana"/>
      <w:sz w:val="20"/>
      <w:szCs w:val="20"/>
      <w:lang w:val="en-GB"/>
    </w:rPr>
  </w:style>
  <w:style w:type="paragraph" w:styleId="813">
    <w:name w:val="Текст выноски"/>
    <w:basedOn w:val="746"/>
    <w:qFormat/>
    <w:rPr>
      <w:rFonts w:ascii="Tahoma" w:hAnsi="Tahoma" w:cs="Tahoma"/>
      <w:sz w:val="16"/>
      <w:szCs w:val="16"/>
      <w:lang w:val="en-US"/>
    </w:rPr>
  </w:style>
  <w:style w:type="paragraph" w:styleId="814">
    <w:name w:val="Revision"/>
    <w:qFormat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15">
    <w:name w:val="Основной текст с отступом 3"/>
    <w:basedOn w:val="746"/>
    <w:qFormat/>
    <w:pPr>
      <w:ind w:left="283" w:firstLine="0"/>
      <w:spacing w:before="0" w:after="120"/>
    </w:pPr>
    <w:rPr>
      <w:sz w:val="16"/>
      <w:szCs w:val="16"/>
      <w:lang w:val="en-US"/>
    </w:rPr>
  </w:style>
  <w:style w:type="paragraph" w:styleId="816">
    <w:name w:val="ConsNonformat"/>
    <w:qFormat/>
    <w:pPr>
      <w:ind w:right="19772" w:firstLine="0"/>
      <w:widowControl w:val="off"/>
    </w:pPr>
    <w:rPr>
      <w:rFonts w:ascii="Courier New" w:hAnsi="Courier New" w:eastAsia="Times New Roman" w:cs="Courier New"/>
      <w:i/>
      <w:iCs/>
      <w:color w:val="auto"/>
      <w:sz w:val="20"/>
      <w:szCs w:val="20"/>
      <w:lang w:val="ru-RU" w:eastAsia="zh-CN" w:bidi="ar-SA"/>
    </w:rPr>
  </w:style>
  <w:style w:type="paragraph" w:styleId="817">
    <w:name w:val="Основной текст 21"/>
    <w:basedOn w:val="746"/>
    <w:qFormat/>
    <w:rPr>
      <w:rFonts w:eastAsia="Times New Roman"/>
    </w:rPr>
  </w:style>
  <w:style w:type="paragraph" w:styleId="818">
    <w:name w:val="footnote text"/>
    <w:basedOn w:val="746"/>
    <w:rPr>
      <w:rFonts w:eastAsia="Times New Roman"/>
      <w:sz w:val="20"/>
      <w:szCs w:val="20"/>
      <w:lang w:val="en-US"/>
    </w:rPr>
  </w:style>
  <w:style w:type="paragraph" w:styleId="819">
    <w:name w:val="Абзац списка"/>
    <w:basedOn w:val="746"/>
    <w:qFormat/>
    <w:pPr>
      <w:contextualSpacing/>
      <w:ind w:left="72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820">
    <w:name w:val=" Знак Знак"/>
    <w:basedOn w:val="746"/>
    <w:qFormat/>
    <w:pPr>
      <w:spacing w:before="0" w:after="160" w:line="240" w:lineRule="exact"/>
    </w:pPr>
    <w:rPr>
      <w:rFonts w:ascii="Verdana" w:hAnsi="Verdana" w:eastAsia="MS Mincho;ＭＳ 明朝" w:cs="Verdana"/>
      <w:sz w:val="20"/>
      <w:szCs w:val="20"/>
      <w:lang w:val="en-GB"/>
    </w:rPr>
  </w:style>
  <w:style w:type="paragraph" w:styleId="821">
    <w:name w:val="Основной текст 2"/>
    <w:basedOn w:val="746"/>
    <w:qFormat/>
    <w:pPr>
      <w:spacing w:before="0" w:after="120" w:line="480" w:lineRule="auto"/>
    </w:pPr>
  </w:style>
  <w:style w:type="paragraph" w:styleId="822">
    <w:name w:val="Рецензия"/>
    <w:qFormat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23">
    <w:name w:val="Обычный (Интернет)"/>
    <w:basedOn w:val="746"/>
    <w:qFormat/>
    <w:pPr>
      <w:spacing w:before="280" w:after="280"/>
    </w:pPr>
    <w:rPr>
      <w:rFonts w:eastAsia="Times New Roman"/>
    </w:rPr>
  </w:style>
  <w:style w:type="paragraph" w:styleId="824">
    <w:name w:val="Table Contents"/>
    <w:basedOn w:val="746"/>
    <w:qFormat/>
    <w:pPr>
      <w:widowControl w:val="off"/>
      <w:suppressLineNumbers/>
    </w:pPr>
  </w:style>
  <w:style w:type="paragraph" w:styleId="825">
    <w:name w:val="Table Heading"/>
    <w:basedOn w:val="824"/>
    <w:qFormat/>
    <w:pPr>
      <w:jc w:val="center"/>
      <w:suppressLineNumbers/>
    </w:pPr>
    <w:rPr>
      <w:b/>
      <w:bCs/>
    </w:rPr>
  </w:style>
  <w:style w:type="numbering" w:styleId="826">
    <w:name w:val="WW8Num1"/>
    <w:qFormat/>
  </w:style>
  <w:style w:type="numbering" w:styleId="827">
    <w:name w:val="WW8Num2"/>
    <w:qFormat/>
  </w:style>
  <w:style w:type="numbering" w:styleId="828">
    <w:name w:val="WW8Num3"/>
    <w:qFormat/>
  </w:style>
  <w:style w:type="numbering" w:styleId="829">
    <w:name w:val="WW8Num4"/>
    <w:qFormat/>
  </w:style>
  <w:style w:type="numbering" w:styleId="830">
    <w:name w:val="WW8Num5"/>
    <w:qFormat/>
  </w:style>
  <w:style w:type="numbering" w:styleId="831">
    <w:name w:val="WW8Num6"/>
    <w:qFormat/>
  </w:style>
  <w:style w:type="numbering" w:styleId="832">
    <w:name w:val="WW8Num7"/>
    <w:qFormat/>
  </w:style>
  <w:style w:type="numbering" w:styleId="833">
    <w:name w:val="WW8Num8"/>
    <w:qFormat/>
  </w:style>
  <w:style w:type="numbering" w:styleId="834">
    <w:name w:val="WW8Num9"/>
    <w:qFormat/>
  </w:style>
  <w:style w:type="numbering" w:styleId="835">
    <w:name w:val="WW8Num10"/>
    <w:qFormat/>
  </w:style>
  <w:style w:type="numbering" w:styleId="836">
    <w:name w:val="WW8Num11"/>
    <w:qFormat/>
  </w:style>
  <w:style w:type="numbering" w:styleId="837">
    <w:name w:val="WW8Num12"/>
    <w:qFormat/>
  </w:style>
  <w:style w:type="numbering" w:styleId="838">
    <w:name w:val="WW8Num13"/>
    <w:qFormat/>
  </w:style>
  <w:style w:type="numbering" w:styleId="839">
    <w:name w:val="WW8Num14"/>
    <w:qFormat/>
  </w:style>
  <w:style w:type="numbering" w:styleId="840">
    <w:name w:val="WW8Num15"/>
    <w:qFormat/>
  </w:style>
  <w:style w:type="numbering" w:styleId="841">
    <w:name w:val="WW8Num16"/>
    <w:qFormat/>
  </w:style>
  <w:style w:type="numbering" w:styleId="842">
    <w:name w:val="WW8Num17"/>
    <w:qFormat/>
  </w:style>
  <w:style w:type="numbering" w:styleId="843">
    <w:name w:val="WW8Num18"/>
    <w:qFormat/>
  </w:style>
  <w:style w:type="numbering" w:styleId="844">
    <w:name w:val="WW8Num19"/>
    <w:qFormat/>
  </w:style>
  <w:style w:type="numbering" w:styleId="845">
    <w:name w:val="WW8Num20"/>
    <w:qFormat/>
  </w:style>
  <w:style w:type="numbering" w:styleId="846">
    <w:name w:val="WW8Num21"/>
    <w:qFormat/>
  </w:style>
  <w:style w:type="numbering" w:styleId="847">
    <w:name w:val="WW8Num22"/>
    <w:qFormat/>
  </w:style>
  <w:style w:type="numbering" w:styleId="848">
    <w:name w:val="WW8Num23"/>
    <w:qFormat/>
  </w:style>
  <w:style w:type="numbering" w:styleId="849">
    <w:name w:val="WW8Num24"/>
    <w:qFormat/>
  </w:style>
  <w:style w:type="numbering" w:styleId="850">
    <w:name w:val="WW8Num25"/>
    <w:qFormat/>
  </w:style>
  <w:style w:type="character" w:styleId="3195" w:default="1">
    <w:name w:val="Default Paragraph Font"/>
    <w:uiPriority w:val="1"/>
    <w:semiHidden/>
    <w:unhideWhenUsed/>
  </w:style>
  <w:style w:type="numbering" w:styleId="3196" w:default="1">
    <w:name w:val="No List"/>
    <w:uiPriority w:val="99"/>
    <w:semiHidden/>
    <w:unhideWhenUsed/>
  </w:style>
  <w:style w:type="table" w:styleId="31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lot-online.ru/" TargetMode="External"/><Relationship Id="rId10" Type="http://schemas.openxmlformats.org/officeDocument/2006/relationships/hyperlink" Target="mailto:dv@auction-house.ru" TargetMode="External"/><Relationship Id="rId11" Type="http://schemas.openxmlformats.org/officeDocument/2006/relationships/hyperlink" Target="http://www.lot-online.ru/" TargetMode="External"/><Relationship Id="rId12" Type="http://schemas.openxmlformats.org/officeDocument/2006/relationships/hyperlink" Target="https://catalog.lot-online.ru/images/docs/regulations/reglament_prod.pdf?_t=1666941793" TargetMode="External"/><Relationship Id="rId13" Type="http://schemas.openxmlformats.org/officeDocument/2006/relationships/hyperlink" Target="consultantplus://offline/main?base=LAW;n=72518;fld=134" TargetMode="External"/><Relationship Id="rId14" Type="http://schemas.openxmlformats.org/officeDocument/2006/relationships/hyperlink" Target="http://www.lot-online.ru/" TargetMode="External"/><Relationship Id="rId15" Type="http://schemas.openxmlformats.org/officeDocument/2006/relationships/hyperlink" Target="https://catalog.lot-online.ru/images/docs/regulations/reglament_zadatok_bkr.pdf?_t=1658847783" TargetMode="External"/><Relationship Id="rId16" Type="http://schemas.openxmlformats.org/officeDocument/2006/relationships/hyperlink" Target="http://www.auction-hous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dc:language>en-US</dc:language>
  <cp:lastModifiedBy>Кристина Макаренко</cp:lastModifiedBy>
  <cp:revision>9</cp:revision>
  <dcterms:created xsi:type="dcterms:W3CDTF">2024-08-21T10:25:00Z</dcterms:created>
  <dcterms:modified xsi:type="dcterms:W3CDTF">2025-03-08T03:45:07Z</dcterms:modified>
</cp:coreProperties>
</file>