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984" w14:textId="77777777" w:rsidR="00DF0DB5" w:rsidRDefault="002E6B3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2BC57F44" w14:textId="77777777" w:rsidR="00DF0DB5" w:rsidRDefault="002E6B38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2B02407" w14:textId="77777777" w:rsidR="00DF0DB5" w:rsidRDefault="00DF0DB5">
      <w:pPr>
        <w:jc w:val="both"/>
        <w:rPr>
          <w:rFonts w:ascii="Times New Roman" w:hAnsi="Times New Roman"/>
        </w:rPr>
      </w:pPr>
    </w:p>
    <w:p w14:paraId="4A62EF98" w14:textId="77777777" w:rsidR="00DF0DB5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508E65E5" w14:textId="77777777" w:rsidR="00DF0DB5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1E7ED91" w14:textId="77777777" w:rsidR="00DF0DB5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39919251" w14:textId="77777777" w:rsidR="00DF0DB5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0A70193" w14:textId="77777777" w:rsidR="00DF0DB5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41F42E35" w14:textId="77777777" w:rsidR="00DF0DB5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F9D7DDF" w14:textId="77777777" w:rsidR="00DF0DB5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7F2ACF3" w14:textId="77777777" w:rsidR="00DF0DB5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3E1D76B" w14:textId="77777777" w:rsidR="00DF0DB5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6A120859" w14:textId="77777777" w:rsidR="00DF0DB5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0D72E6D" w14:textId="77777777" w:rsidR="00DF0DB5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6A1CDB3F" w14:textId="77777777" w:rsidR="00DF0DB5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013DCF2" w14:textId="77777777" w:rsidR="00DF0DB5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451020AE" w14:textId="77777777" w:rsidR="00DF0DB5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6C29B4A" w14:textId="77777777" w:rsidR="00DF0DB5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2CC24D3" w14:textId="77777777" w:rsidR="00DF0DB5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CAD7C4F" w14:textId="77777777" w:rsidR="00DF0DB5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1686AB62" w14:textId="77777777" w:rsidR="00DF0DB5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769896C" w14:textId="77777777" w:rsidR="00DF0DB5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6C9BE44" w14:textId="77777777" w:rsidR="00DF0DB5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494FBDC" w14:textId="77777777" w:rsidR="00DF0DB5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128F19DD" w14:textId="77777777" w:rsidR="00DF0DB5" w:rsidRDefault="002E6B3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принимая решение об участии в аукционе «24» апреля 2025 года </w:t>
      </w:r>
      <w:r>
        <w:rPr>
          <w:rFonts w:ascii="Times New Roman" w:hAnsi="Times New Roman"/>
          <w:bCs/>
        </w:rPr>
        <w:t xml:space="preserve">по продаже объектов недвижимости с движимым имуществом, реализуемых едиными лотом (далее – «Лот»):     </w:t>
      </w:r>
      <w:r>
        <w:rPr>
          <w:rFonts w:ascii="Times New Roman" w:hAnsi="Times New Roman"/>
          <w:b/>
        </w:rPr>
        <w:t xml:space="preserve">           </w:t>
      </w:r>
    </w:p>
    <w:p w14:paraId="16DFFF57" w14:textId="77777777" w:rsidR="00DF0DB5" w:rsidRDefault="00DF0DB5">
      <w:pPr>
        <w:widowControl w:val="0"/>
        <w:jc w:val="both"/>
        <w:rPr>
          <w:rFonts w:ascii="Times New Roman" w:hAnsi="Times New Roman"/>
          <w:b/>
          <w:bCs/>
          <w:color w:val="000000"/>
        </w:rPr>
      </w:pPr>
    </w:p>
    <w:p w14:paraId="2A536E18" w14:textId="77777777" w:rsidR="00DF0DB5" w:rsidRDefault="002E6B38">
      <w:pPr>
        <w:widowControl w:val="0"/>
        <w:ind w:right="-57"/>
        <w:jc w:val="both"/>
        <w:rPr>
          <w:rFonts w:ascii="Times New Roman" w:eastAsia="SimSun" w:hAnsi="Times New Roman" w:cs="Tahoma"/>
          <w:u w:val="single"/>
          <w:lang w:eastAsia="hi-IN" w:bidi="hi-IN"/>
        </w:rPr>
      </w:pPr>
      <w:r>
        <w:rPr>
          <w:rFonts w:ascii="Times New Roman" w:eastAsia="SimSun" w:hAnsi="Times New Roman" w:cs="Tahoma"/>
          <w:u w:val="single"/>
          <w:lang w:eastAsia="hi-IN" w:bidi="hi-IN"/>
        </w:rPr>
        <w:t>Объект 1:</w:t>
      </w:r>
    </w:p>
    <w:p w14:paraId="5DB35F1E" w14:textId="77777777" w:rsidR="00DF0DB5" w:rsidRDefault="002E6B38">
      <w:pPr>
        <w:widowControl w:val="0"/>
        <w:ind w:right="-57"/>
        <w:jc w:val="both"/>
        <w:rPr>
          <w:rFonts w:ascii="Times New Roman" w:eastAsia="SimSun" w:hAnsi="Times New Roman" w:cs="Tahoma"/>
          <w:color w:val="000000"/>
          <w:lang w:eastAsia="hi-IN" w:bidi="hi-IN"/>
        </w:rPr>
      </w:pPr>
      <w:r>
        <w:rPr>
          <w:rFonts w:ascii="Times New Roman" w:eastAsia="SimSun" w:hAnsi="Times New Roman" w:cs="Tahoma"/>
          <w:b/>
          <w:bCs/>
          <w:lang w:eastAsia="hi-IN" w:bidi="hi-IN"/>
        </w:rPr>
        <w:t>Здание</w:t>
      </w:r>
      <w:r>
        <w:rPr>
          <w:rFonts w:ascii="Times New Roman" w:eastAsia="SimSun" w:hAnsi="Times New Roman" w:cs="Tahoma"/>
          <w:lang w:eastAsia="hi-IN" w:bidi="hi-IN"/>
        </w:rPr>
        <w:t xml:space="preserve"> </w:t>
      </w:r>
      <w:r>
        <w:rPr>
          <w:rFonts w:ascii="Times New Roman" w:eastAsia="SimSun" w:hAnsi="Times New Roman" w:cs="Tahoma"/>
          <w:bCs/>
          <w:lang w:eastAsia="hi-IN" w:bidi="hi-IN"/>
        </w:rPr>
        <w:t xml:space="preserve">с кадастровым номером </w:t>
      </w:r>
      <w:r>
        <w:rPr>
          <w:rFonts w:ascii="Times New Roman" w:eastAsia="SimSun" w:hAnsi="Times New Roman" w:cs="Tahoma"/>
          <w:lang w:eastAsia="hi-IN" w:bidi="hi-IN"/>
        </w:rPr>
        <w:t>52:26:0150001:1128</w:t>
      </w:r>
      <w:r>
        <w:rPr>
          <w:rFonts w:ascii="Times New Roman" w:eastAsia="SimSun" w:hAnsi="Times New Roman" w:cs="Tahoma"/>
          <w:bCs/>
          <w:lang w:eastAsia="hi-IN" w:bidi="hi-IN"/>
        </w:rPr>
        <w:t xml:space="preserve">,  площадью 2 257,4 кв.м, назначение: нежилое, наименование: </w:t>
      </w:r>
      <w:r>
        <w:rPr>
          <w:rFonts w:ascii="Times New Roman" w:eastAsia="SimSun" w:hAnsi="Times New Roman" w:cs="Tahoma"/>
          <w:lang w:eastAsia="hi-IN" w:bidi="hi-IN"/>
        </w:rPr>
        <w:t xml:space="preserve">здание бытового помещения, </w:t>
      </w:r>
      <w:r>
        <w:rPr>
          <w:rFonts w:ascii="Times New Roman" w:eastAsia="SimSun" w:hAnsi="Times New Roman" w:cs="Tahoma"/>
          <w:bCs/>
          <w:lang w:eastAsia="hi-IN" w:bidi="hi-IN"/>
        </w:rPr>
        <w:t xml:space="preserve">количество этажей 4, в том числе подземных 0, находящийся по </w:t>
      </w:r>
      <w:r>
        <w:rPr>
          <w:rFonts w:ascii="Times New Roman" w:eastAsia="SimSun" w:hAnsi="Times New Roman" w:cs="Tahoma"/>
          <w:lang w:eastAsia="hi-IN" w:bidi="hi-IN"/>
        </w:rPr>
        <w:t>адресу: Российская Федерация, Нижегородская область, Кстовский муниципальный район, городское поселение город Кстово, район Промышленный, шоссе Центральное, дом 13</w:t>
      </w:r>
      <w:r>
        <w:rPr>
          <w:rFonts w:ascii="Times New Roman" w:eastAsia="SimSun" w:hAnsi="Times New Roman" w:cs="Tahoma"/>
          <w:color w:val="000000"/>
          <w:lang w:eastAsia="hi-IN" w:bidi="hi-IN"/>
        </w:rPr>
        <w:t xml:space="preserve">.  </w:t>
      </w:r>
      <w:r>
        <w:rPr>
          <w:rFonts w:ascii="Times New Roman" w:eastAsia="SimSun" w:hAnsi="Times New Roman" w:cs="Tahoma"/>
          <w:lang w:eastAsia="hi-IN" w:bidi="hi-IN"/>
        </w:rPr>
        <w:t xml:space="preserve">Обременения (ограничения) Объекта не зарегистрированы. </w:t>
      </w:r>
    </w:p>
    <w:p w14:paraId="4554D7EB" w14:textId="77777777" w:rsidR="00DF0DB5" w:rsidRDefault="002E6B38">
      <w:pPr>
        <w:widowControl w:val="0"/>
        <w:ind w:right="-57"/>
        <w:jc w:val="both"/>
        <w:rPr>
          <w:rFonts w:ascii="Times New Roman" w:eastAsia="SimSun" w:hAnsi="Times New Roman" w:cs="Tahoma"/>
          <w:u w:val="single"/>
          <w:lang w:eastAsia="hi-IN" w:bidi="hi-IN"/>
        </w:rPr>
      </w:pPr>
      <w:r>
        <w:rPr>
          <w:rFonts w:ascii="Times New Roman" w:eastAsia="SimSun" w:hAnsi="Times New Roman" w:cs="Tahoma"/>
          <w:u w:val="single"/>
          <w:lang w:eastAsia="hi-IN" w:bidi="hi-IN"/>
        </w:rPr>
        <w:t>Объект 2:</w:t>
      </w:r>
    </w:p>
    <w:p w14:paraId="62EC19ED" w14:textId="77777777" w:rsidR="00DF0DB5" w:rsidRDefault="002E6B38">
      <w:pPr>
        <w:widowControl w:val="0"/>
        <w:ind w:right="-57"/>
        <w:jc w:val="both"/>
        <w:rPr>
          <w:rFonts w:ascii="Times New Roman" w:eastAsia="SimSun" w:hAnsi="Times New Roman" w:cs="Tahoma"/>
          <w:color w:val="000000"/>
          <w:lang w:eastAsia="hi-IN" w:bidi="hi-IN"/>
        </w:rPr>
      </w:pPr>
      <w:r>
        <w:rPr>
          <w:rFonts w:ascii="Times New Roman" w:eastAsia="SimSun" w:hAnsi="Times New Roman" w:cs="Tahoma"/>
          <w:b/>
          <w:bCs/>
          <w:lang w:eastAsia="hi-IN" w:bidi="hi-IN"/>
        </w:rPr>
        <w:t>Здание</w:t>
      </w:r>
      <w:r>
        <w:rPr>
          <w:rFonts w:ascii="Times New Roman" w:eastAsia="SimSun" w:hAnsi="Times New Roman" w:cs="Tahoma"/>
          <w:bCs/>
          <w:lang w:eastAsia="hi-IN" w:bidi="hi-IN"/>
        </w:rPr>
        <w:t xml:space="preserve"> с кадастровым номером </w:t>
      </w:r>
      <w:r>
        <w:rPr>
          <w:rFonts w:ascii="Times New Roman" w:eastAsia="SimSun" w:hAnsi="Times New Roman" w:cs="Tahoma"/>
          <w:lang w:eastAsia="hi-IN" w:bidi="hi-IN"/>
        </w:rPr>
        <w:t>52:26:0000000:1474</w:t>
      </w:r>
      <w:r>
        <w:rPr>
          <w:rFonts w:ascii="Times New Roman" w:eastAsia="SimSun" w:hAnsi="Times New Roman" w:cs="Tahoma"/>
          <w:bCs/>
          <w:lang w:eastAsia="hi-IN" w:bidi="hi-IN"/>
        </w:rPr>
        <w:t xml:space="preserve">,  площадью 326,8 кв.м, назначение: нежилое, наименование: </w:t>
      </w:r>
      <w:r>
        <w:rPr>
          <w:rFonts w:ascii="Times New Roman" w:eastAsia="SimSun" w:hAnsi="Times New Roman" w:cs="Tahoma"/>
          <w:lang w:eastAsia="hi-IN" w:bidi="hi-IN"/>
        </w:rPr>
        <w:t xml:space="preserve">здание финского склада, </w:t>
      </w:r>
      <w:r>
        <w:rPr>
          <w:rFonts w:ascii="Times New Roman" w:eastAsia="SimSun" w:hAnsi="Times New Roman" w:cs="Tahoma"/>
          <w:bCs/>
          <w:lang w:eastAsia="hi-IN" w:bidi="hi-IN"/>
        </w:rPr>
        <w:t xml:space="preserve">количество этажей 1, в том числе подземных 0, находящийся по </w:t>
      </w:r>
      <w:r>
        <w:rPr>
          <w:rFonts w:ascii="Times New Roman" w:eastAsia="SimSun" w:hAnsi="Times New Roman" w:cs="Tahoma"/>
          <w:lang w:eastAsia="hi-IN" w:bidi="hi-IN"/>
        </w:rPr>
        <w:t>адресу: Нижегородская обл, р-н Кстовский, примерно в 3 км по направлению на юг от г. Кстово.</w:t>
      </w:r>
      <w:r>
        <w:rPr>
          <w:rFonts w:ascii="Times New Roman" w:eastAsia="SimSun" w:hAnsi="Times New Roman" w:cs="Tahoma"/>
          <w:color w:val="000000"/>
          <w:lang w:eastAsia="hi-IN" w:bidi="hi-IN"/>
        </w:rPr>
        <w:t xml:space="preserve"> </w:t>
      </w:r>
      <w:r>
        <w:rPr>
          <w:rFonts w:ascii="Times New Roman" w:eastAsia="SimSun" w:hAnsi="Times New Roman" w:cs="Tahoma"/>
          <w:lang w:eastAsia="hi-IN" w:bidi="hi-IN"/>
        </w:rPr>
        <w:t xml:space="preserve">Обременения (ограничения) Объекта не зарегистрированы. </w:t>
      </w:r>
    </w:p>
    <w:p w14:paraId="16AB84D9" w14:textId="77777777" w:rsidR="00DF0DB5" w:rsidRDefault="002E6B38">
      <w:pPr>
        <w:widowControl w:val="0"/>
        <w:ind w:right="-57"/>
        <w:jc w:val="both"/>
        <w:rPr>
          <w:rFonts w:ascii="Times New Roman" w:eastAsia="SimSun" w:hAnsi="Times New Roman" w:cs="Tahoma"/>
          <w:u w:val="single"/>
          <w:lang w:eastAsia="hi-IN" w:bidi="hi-IN"/>
        </w:rPr>
      </w:pPr>
      <w:r>
        <w:rPr>
          <w:rFonts w:ascii="Times New Roman" w:eastAsia="SimSun" w:hAnsi="Times New Roman" w:cs="Tahoma"/>
          <w:u w:val="single"/>
          <w:lang w:eastAsia="hi-IN" w:bidi="hi-IN"/>
        </w:rPr>
        <w:t xml:space="preserve">Объект 3: </w:t>
      </w:r>
    </w:p>
    <w:p w14:paraId="4D1433F3" w14:textId="77777777" w:rsidR="00DF0DB5" w:rsidRDefault="002E6B38">
      <w:pPr>
        <w:widowControl w:val="0"/>
        <w:ind w:right="-57"/>
        <w:jc w:val="both"/>
        <w:rPr>
          <w:rFonts w:ascii="Times New Roman" w:eastAsia="SimSun" w:hAnsi="Times New Roman" w:cs="Tahoma"/>
          <w:lang w:eastAsia="hi-IN" w:bidi="hi-IN"/>
        </w:rPr>
      </w:pPr>
      <w:r>
        <w:rPr>
          <w:rFonts w:ascii="Times New Roman" w:eastAsia="SimSun" w:hAnsi="Times New Roman" w:cs="Tahoma"/>
          <w:b/>
          <w:bCs/>
          <w:lang w:eastAsia="hi-IN" w:bidi="hi-IN"/>
        </w:rPr>
        <w:t>Здание</w:t>
      </w:r>
      <w:r>
        <w:rPr>
          <w:rFonts w:ascii="Times New Roman" w:eastAsia="SimSun" w:hAnsi="Times New Roman" w:cs="Tahoma"/>
          <w:bCs/>
          <w:lang w:eastAsia="hi-IN" w:bidi="hi-IN"/>
        </w:rPr>
        <w:t xml:space="preserve"> с кадастровым номером </w:t>
      </w:r>
      <w:r>
        <w:rPr>
          <w:rFonts w:ascii="Times New Roman" w:eastAsia="SimSun" w:hAnsi="Times New Roman" w:cs="Tahoma"/>
          <w:lang w:eastAsia="hi-IN" w:bidi="hi-IN"/>
        </w:rPr>
        <w:t>52:26:0000000:1477</w:t>
      </w:r>
      <w:r>
        <w:rPr>
          <w:rFonts w:ascii="Times New Roman" w:eastAsia="SimSun" w:hAnsi="Times New Roman" w:cs="Tahoma"/>
          <w:bCs/>
          <w:lang w:eastAsia="hi-IN" w:bidi="hi-IN"/>
        </w:rPr>
        <w:t xml:space="preserve">,  площадью 690,7 </w:t>
      </w:r>
      <w:proofErr w:type="gramStart"/>
      <w:r>
        <w:rPr>
          <w:rFonts w:ascii="Times New Roman" w:eastAsia="SimSun" w:hAnsi="Times New Roman" w:cs="Tahoma"/>
          <w:bCs/>
          <w:lang w:eastAsia="hi-IN" w:bidi="hi-IN"/>
        </w:rPr>
        <w:t>кв.м</w:t>
      </w:r>
      <w:proofErr w:type="gramEnd"/>
      <w:r>
        <w:rPr>
          <w:rFonts w:ascii="Times New Roman" w:eastAsia="SimSun" w:hAnsi="Times New Roman" w:cs="Tahoma"/>
          <w:bCs/>
          <w:lang w:eastAsia="hi-IN" w:bidi="hi-IN"/>
        </w:rPr>
        <w:t xml:space="preserve">, назначение: нежилое, наименование: </w:t>
      </w:r>
      <w:r>
        <w:rPr>
          <w:rFonts w:ascii="Times New Roman" w:eastAsia="SimSun" w:hAnsi="Times New Roman" w:cs="Tahoma"/>
          <w:lang w:eastAsia="hi-IN" w:bidi="hi-IN"/>
        </w:rPr>
        <w:t xml:space="preserve">здание финского склада, </w:t>
      </w:r>
      <w:r>
        <w:rPr>
          <w:rFonts w:ascii="Times New Roman" w:eastAsia="SimSun" w:hAnsi="Times New Roman" w:cs="Tahoma"/>
          <w:bCs/>
          <w:lang w:eastAsia="hi-IN" w:bidi="hi-IN"/>
        </w:rPr>
        <w:t xml:space="preserve">количество этажей 1, в том числе подземных 0, находящийся по </w:t>
      </w:r>
      <w:r>
        <w:rPr>
          <w:rFonts w:ascii="Times New Roman" w:eastAsia="SimSun" w:hAnsi="Times New Roman" w:cs="Tahoma"/>
          <w:lang w:eastAsia="hi-IN" w:bidi="hi-IN"/>
        </w:rPr>
        <w:t xml:space="preserve">адресу: Нижегородская область, р-н Кстовский, примерно в 3 км по направлению на юг от г Кстово. Обременения (ограничения) Объекта </w:t>
      </w:r>
      <w:r>
        <w:rPr>
          <w:rFonts w:ascii="Times New Roman" w:eastAsia="SimSun" w:hAnsi="Times New Roman" w:cs="Tahoma"/>
          <w:color w:val="000000"/>
          <w:lang w:eastAsia="hi-IN" w:bidi="hi-IN"/>
        </w:rPr>
        <w:t>н</w:t>
      </w:r>
      <w:r>
        <w:rPr>
          <w:rFonts w:ascii="Times New Roman" w:eastAsia="SimSun" w:hAnsi="Times New Roman" w:cs="Tahoma"/>
          <w:lang w:eastAsia="hi-IN" w:bidi="hi-IN"/>
        </w:rPr>
        <w:t xml:space="preserve">е зарегистрированы. </w:t>
      </w:r>
    </w:p>
    <w:p w14:paraId="1B19D72F" w14:textId="77777777" w:rsidR="00DF0DB5" w:rsidRDefault="002E6B38">
      <w:pPr>
        <w:widowControl w:val="0"/>
        <w:ind w:right="-57"/>
        <w:jc w:val="both"/>
        <w:rPr>
          <w:rFonts w:ascii="Times New Roman" w:eastAsia="SimSun" w:hAnsi="Times New Roman" w:cs="Tahoma"/>
          <w:u w:val="single"/>
          <w:lang w:eastAsia="hi-IN" w:bidi="hi-IN"/>
        </w:rPr>
      </w:pPr>
      <w:r>
        <w:rPr>
          <w:rFonts w:ascii="Times New Roman" w:eastAsia="SimSun" w:hAnsi="Times New Roman" w:cs="Tahoma"/>
          <w:u w:val="single"/>
          <w:lang w:eastAsia="hi-IN" w:bidi="hi-IN"/>
        </w:rPr>
        <w:t>Объект 4:</w:t>
      </w:r>
    </w:p>
    <w:p w14:paraId="4960DAC0" w14:textId="77777777" w:rsidR="00DF0DB5" w:rsidRDefault="002E6B38">
      <w:pPr>
        <w:widowControl w:val="0"/>
        <w:ind w:right="-57"/>
        <w:jc w:val="both"/>
        <w:rPr>
          <w:rFonts w:ascii="Times New Roman" w:eastAsia="SimSun" w:hAnsi="Times New Roman" w:cs="Tahoma"/>
          <w:lang w:eastAsia="hi-IN" w:bidi="hi-IN"/>
        </w:rPr>
      </w:pPr>
      <w:r>
        <w:rPr>
          <w:rFonts w:ascii="Times New Roman" w:eastAsia="SimSun" w:hAnsi="Times New Roman" w:cs="Tahoma"/>
          <w:lang w:eastAsia="hi-IN" w:bidi="hi-IN"/>
        </w:rPr>
        <w:t>Земельный участок</w:t>
      </w:r>
      <w:r>
        <w:rPr>
          <w:rFonts w:ascii="Times New Roman" w:eastAsia="SimSun" w:hAnsi="Times New Roman" w:cs="Tahoma"/>
          <w:bCs/>
          <w:lang w:eastAsia="hi-IN" w:bidi="hi-IN"/>
        </w:rPr>
        <w:t xml:space="preserve"> с кадастровым номером </w:t>
      </w:r>
      <w:r>
        <w:rPr>
          <w:rFonts w:ascii="Times New Roman" w:eastAsia="SimSun" w:hAnsi="Times New Roman" w:cs="Tahoma"/>
          <w:lang w:eastAsia="hi-IN" w:bidi="hi-IN"/>
        </w:rPr>
        <w:t>52:26:0150002:473,</w:t>
      </w:r>
      <w:r>
        <w:rPr>
          <w:rFonts w:ascii="Times New Roman" w:eastAsia="SimSun" w:hAnsi="Times New Roman" w:cs="Tahoma"/>
          <w:bCs/>
          <w:lang w:eastAsia="hi-IN" w:bidi="hi-IN"/>
        </w:rPr>
        <w:t xml:space="preserve"> площадью 5 996 +/-27 кв.м, категория земель: земли населенных пунктов, </w:t>
      </w:r>
      <w:r>
        <w:rPr>
          <w:rFonts w:ascii="Times New Roman" w:eastAsia="SimSun" w:hAnsi="Times New Roman" w:cs="Tahoma"/>
          <w:lang w:eastAsia="hi-IN" w:bidi="hi-IN"/>
        </w:rPr>
        <w:t>виды разрешенного использования</w:t>
      </w:r>
      <w:r>
        <w:rPr>
          <w:rFonts w:ascii="Times New Roman" w:eastAsia="SimSun" w:hAnsi="Times New Roman" w:cs="Tahoma"/>
          <w:bCs/>
          <w:lang w:eastAsia="hi-IN" w:bidi="hi-IN"/>
        </w:rPr>
        <w:t xml:space="preserve">: под основной производственной площадкой нефтеперерабатывающего завода, находящийся по адресу: </w:t>
      </w:r>
      <w:r>
        <w:rPr>
          <w:rFonts w:ascii="Times New Roman" w:eastAsia="SimSun" w:hAnsi="Times New Roman" w:cs="Tahoma"/>
          <w:lang w:eastAsia="hi-IN" w:bidi="hi-IN"/>
        </w:rPr>
        <w:t>Российская Федерация, Нижегородская область, Кстовский район, г. Кстово, внутригородской район Промышленный, шоссе Центральное, земельный участок № 13.</w:t>
      </w:r>
    </w:p>
    <w:p w14:paraId="23B4C5D4" w14:textId="77777777" w:rsidR="00DF0DB5" w:rsidRDefault="002E6B38">
      <w:pPr>
        <w:widowControl w:val="0"/>
        <w:ind w:right="-57"/>
        <w:jc w:val="both"/>
        <w:rPr>
          <w:rFonts w:ascii="Times New Roman" w:eastAsia="SimSun" w:hAnsi="Times New Roman" w:cs="Tahoma"/>
          <w:color w:val="000000"/>
          <w:lang w:eastAsia="hi-IN" w:bidi="hi-IN"/>
        </w:rPr>
      </w:pPr>
      <w:r>
        <w:rPr>
          <w:rFonts w:ascii="Times New Roman" w:eastAsia="SimSun" w:hAnsi="Times New Roman" w:cs="Tahoma"/>
          <w:color w:val="000000"/>
          <w:lang w:eastAsia="hi-IN" w:bidi="hi-IN"/>
        </w:rPr>
        <w:t xml:space="preserve">Обременения (ограничения) Объекта 4 в соответствии с ЕГРН от 14.02.2025 года: </w:t>
      </w:r>
    </w:p>
    <w:p w14:paraId="691613D4" w14:textId="77777777" w:rsidR="00DF0DB5" w:rsidRDefault="002E6B38">
      <w:pPr>
        <w:widowControl w:val="0"/>
        <w:ind w:right="-57"/>
        <w:jc w:val="both"/>
        <w:rPr>
          <w:rFonts w:ascii="Times New Roman" w:eastAsia="SimSun" w:hAnsi="Times New Roman" w:cs="Tahoma"/>
          <w:lang w:eastAsia="hi-IN" w:bidi="hi-IN"/>
        </w:rPr>
      </w:pPr>
      <w:r>
        <w:rPr>
          <w:rFonts w:ascii="Times New Roman" w:eastAsia="SimSun" w:hAnsi="Times New Roman" w:cs="Tahoma"/>
          <w:lang w:eastAsia="hi-IN" w:bidi="hi-IN"/>
        </w:rPr>
        <w:t xml:space="preserve">- Сервитут на основании Соглашения об установлении сервитута земельного участка № ННОС 120875-95 от 15.02.2013, дата государственной регистрации: 06.03.2013 номер государственной регистрации: 52-52-14/805/2013-321, сроком действия с 06.03.2013, срок не определен. </w:t>
      </w:r>
    </w:p>
    <w:p w14:paraId="0F03A69A" w14:textId="77777777" w:rsidR="00DF0DB5" w:rsidRDefault="002E6B38">
      <w:pPr>
        <w:widowControl w:val="0"/>
        <w:tabs>
          <w:tab w:val="left" w:pos="1134"/>
        </w:tabs>
        <w:spacing w:line="252" w:lineRule="auto"/>
        <w:jc w:val="both"/>
        <w:rPr>
          <w:rFonts w:ascii="Times New Roman" w:eastAsia="Times New Roman" w:hAnsi="Times New Roman"/>
          <w:b/>
          <w:bCs/>
          <w:lang w:eastAsia="ru-RU" w:bidi="hi-IN"/>
        </w:rPr>
      </w:pPr>
      <w:r>
        <w:rPr>
          <w:rFonts w:ascii="Times New Roman" w:eastAsia="SimSun" w:hAnsi="Times New Roman" w:cs="Tahoma"/>
          <w:lang w:eastAsia="hi-IN" w:bidi="hi-IN"/>
        </w:rPr>
        <w:t>Лицо, в пользу которого установлены ограничение прав и обременение объекта недвижимости: Общество с ограниченной ответственностью "Лукойл-Нижегороднефтеоргсинтез"(ИНН: 5250043567)</w:t>
      </w:r>
      <w:r>
        <w:rPr>
          <w:rFonts w:ascii="Times New Roman" w:eastAsia="Times New Roman" w:hAnsi="Times New Roman"/>
          <w:b/>
          <w:bCs/>
          <w:lang w:eastAsia="ru-RU" w:bidi="hi-IN"/>
        </w:rPr>
        <w:t xml:space="preserve">, </w:t>
      </w:r>
      <w:r>
        <w:rPr>
          <w:rFonts w:ascii="Times New Roman" w:hAnsi="Times New Roman"/>
          <w:bCs/>
        </w:rPr>
        <w:t>(далее – Объекты),</w:t>
      </w:r>
      <w:r>
        <w:rPr>
          <w:rFonts w:ascii="Times New Roman" w:hAnsi="Times New Roman"/>
          <w:b/>
        </w:rPr>
        <w:t xml:space="preserve"> обязуюсь:</w:t>
      </w:r>
    </w:p>
    <w:p w14:paraId="1A1B1BB8" w14:textId="77777777" w:rsidR="00DF0DB5" w:rsidRDefault="00DF0DB5">
      <w:pPr>
        <w:widowControl w:val="0"/>
        <w:jc w:val="both"/>
        <w:rPr>
          <w:rFonts w:ascii="Times New Roman" w:hAnsi="Times New Roman"/>
          <w:b/>
        </w:rPr>
      </w:pPr>
    </w:p>
    <w:p w14:paraId="1D03170C" w14:textId="77777777" w:rsidR="00DF0DB5" w:rsidRDefault="002E6B38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/>
        </w:rPr>
        <w:lastRenderedPageBreak/>
        <w:t xml:space="preserve">1. </w:t>
      </w:r>
      <w:r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</w:t>
      </w:r>
      <w:r>
        <w:rPr>
          <w:rFonts w:ascii="Times New Roman" w:eastAsia="Times New Roman" w:hAnsi="Times New Roman"/>
          <w:bCs/>
          <w:u w:val="single"/>
          <w:lang w:eastAsia="ru-RU"/>
        </w:rPr>
        <w:t>№________(код лота)</w:t>
      </w:r>
      <w:r>
        <w:rPr>
          <w:rFonts w:ascii="Times New Roman" w:eastAsia="Times New Roman" w:hAnsi="Times New Roman"/>
          <w:bCs/>
          <w:lang w:eastAsia="ru-RU"/>
        </w:rPr>
        <w:t xml:space="preserve">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color w:val="0070C0"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color w:val="0070C0"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color w:val="0070C0"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color w:val="0070C0"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color w:val="0070C0"/>
          <w:lang w:eastAsia="ru-RU"/>
        </w:rPr>
        <w:t>.</w:t>
      </w:r>
    </w:p>
    <w:p w14:paraId="1A97D97D" w14:textId="77777777" w:rsidR="00DF0DB5" w:rsidRDefault="00DF0DB5">
      <w:pPr>
        <w:jc w:val="both"/>
        <w:rPr>
          <w:rFonts w:ascii="Times New Roman" w:hAnsi="Times New Roman"/>
          <w:bCs/>
        </w:rPr>
      </w:pPr>
    </w:p>
    <w:p w14:paraId="4E7F57BE" w14:textId="77777777" w:rsidR="00DF0DB5" w:rsidRDefault="002E6B3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В случае признания победителем аукциона:</w:t>
      </w:r>
    </w:p>
    <w:p w14:paraId="0655EADF" w14:textId="6154C106" w:rsidR="00DF0DB5" w:rsidRDefault="002E6B38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 xml:space="preserve">Договор купли-продажи </w:t>
      </w:r>
      <w:r>
        <w:rPr>
          <w:rFonts w:ascii="Times New Roman" w:hAnsi="Times New Roman"/>
          <w:bCs/>
        </w:rPr>
        <w:t>Лота</w:t>
      </w:r>
      <w:r>
        <w:rPr>
          <w:rFonts w:ascii="Times New Roman" w:hAnsi="Times New Roman"/>
          <w:bCs/>
        </w:rPr>
        <w:t xml:space="preserve"> с Продавцом в течение 10 (десяти</w:t>
      </w:r>
      <w:r>
        <w:rPr>
          <w:rFonts w:ascii="Times New Roman" w:hAnsi="Times New Roman"/>
          <w:bCs/>
        </w:rPr>
        <w:t>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29200E22" w14:textId="0B7DF094" w:rsidR="00DF0DB5" w:rsidRDefault="002E6B38">
      <w:pPr>
        <w:ind w:right="-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Оплата цены продажи </w:t>
      </w:r>
      <w:r>
        <w:rPr>
          <w:rFonts w:ascii="Times New Roman" w:hAnsi="Times New Roman"/>
          <w:bCs/>
        </w:rPr>
        <w:t>Лота</w:t>
      </w:r>
      <w:r>
        <w:rPr>
          <w:rFonts w:ascii="Times New Roman" w:hAnsi="Times New Roman"/>
          <w:bCs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4DCAECC4" w14:textId="77777777" w:rsidR="00DF0DB5" w:rsidRDefault="00DF0DB5">
      <w:pPr>
        <w:jc w:val="both"/>
        <w:rPr>
          <w:rFonts w:ascii="Times New Roman" w:hAnsi="Times New Roman"/>
          <w:bCs/>
        </w:rPr>
      </w:pPr>
    </w:p>
    <w:p w14:paraId="7CEA00CD" w14:textId="77777777" w:rsidR="00DF0DB5" w:rsidRDefault="002E6B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382DC45D" w14:textId="77777777" w:rsidR="00DF0DB5" w:rsidRDefault="002E6B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4ED3026B" w14:textId="3558BC44" w:rsidR="00DF0DB5" w:rsidRDefault="002E6B38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</w:t>
      </w:r>
      <w:r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 в установленный срок задаток ему не возвращается, и он утрачивает право на заключение договора купли-продажи </w:t>
      </w:r>
      <w:r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. </w:t>
      </w:r>
    </w:p>
    <w:p w14:paraId="1010AC86" w14:textId="77777777" w:rsidR="00DF0DB5" w:rsidRDefault="00DF0DB5">
      <w:pPr>
        <w:jc w:val="both"/>
        <w:rPr>
          <w:rFonts w:ascii="Times New Roman" w:hAnsi="Times New Roman"/>
          <w:b/>
        </w:rPr>
      </w:pPr>
    </w:p>
    <w:p w14:paraId="6AB74880" w14:textId="77777777" w:rsidR="00DF0DB5" w:rsidRDefault="002E6B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Объектов, подлежащих реализации на аукционе, и документацией к ним.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14653CB5" w14:textId="77777777" w:rsidR="00DF0DB5" w:rsidRDefault="00DF0DB5">
      <w:pPr>
        <w:jc w:val="both"/>
        <w:rPr>
          <w:rFonts w:ascii="Times New Roman" w:hAnsi="Times New Roman"/>
        </w:rPr>
      </w:pPr>
    </w:p>
    <w:p w14:paraId="0AD695F1" w14:textId="1A664900" w:rsidR="00DF0DB5" w:rsidRDefault="002E6B38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</w:t>
      </w:r>
      <w:r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является обязательным. Оплата цены </w:t>
      </w:r>
      <w:r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</w:t>
      </w:r>
      <w:r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>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6542FC24" w14:textId="77777777" w:rsidR="00DF0DB5" w:rsidRDefault="00DF0DB5">
      <w:pPr>
        <w:ind w:left="-15" w:right="60"/>
        <w:jc w:val="both"/>
        <w:rPr>
          <w:rFonts w:ascii="Times New Roman" w:hAnsi="Times New Roman"/>
          <w:b/>
        </w:rPr>
      </w:pPr>
    </w:p>
    <w:p w14:paraId="55CFD6C1" w14:textId="482A5C01" w:rsidR="00DF0DB5" w:rsidRDefault="002E6B38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</w:t>
      </w:r>
      <w:r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 по результатам торгов в установленный срок, от оплаты цены </w:t>
      </w:r>
      <w:r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, договор купли-продажи </w:t>
      </w:r>
      <w:r>
        <w:rPr>
          <w:rFonts w:ascii="Times New Roman" w:hAnsi="Times New Roman"/>
        </w:rPr>
        <w:t xml:space="preserve"> может быть заключен с участником аукциона, сделавшим предпоследнее предложение по цене </w:t>
      </w:r>
      <w:r>
        <w:rPr>
          <w:rFonts w:ascii="Times New Roman" w:hAnsi="Times New Roman"/>
        </w:rPr>
        <w:t xml:space="preserve"> в ходе торгов, в течение 10 (десяти) рабочих дней с даты получения от Организатора торгов уведомления с предложением заключить договор купли-продажи </w:t>
      </w:r>
      <w:r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. Заключение договора купли-продажи таким участником не является обязательным. При этом оплата цены </w:t>
      </w:r>
      <w:r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 производится участником аукциона, сделавшим предпоследнее предложение по цене </w:t>
      </w:r>
      <w:r>
        <w:rPr>
          <w:rFonts w:ascii="Times New Roman" w:hAnsi="Times New Roman"/>
        </w:rPr>
        <w:t xml:space="preserve">в ходе торгов, в полном объеме путем безналичного перечисления денежных средств на расчетный счет Продавца, указанный в договоре купли-продажи </w:t>
      </w:r>
      <w:r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, в соответствии с условиями такого договора купли-продажи. </w:t>
      </w:r>
    </w:p>
    <w:p w14:paraId="216E969D" w14:textId="77777777" w:rsidR="00DF0DB5" w:rsidRDefault="00DF0DB5">
      <w:pPr>
        <w:jc w:val="both"/>
        <w:rPr>
          <w:rFonts w:ascii="Times New Roman" w:hAnsi="Times New Roman"/>
        </w:rPr>
      </w:pPr>
    </w:p>
    <w:p w14:paraId="2A94B91D" w14:textId="77777777" w:rsidR="00DF0DB5" w:rsidRDefault="002E6B38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b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268E4A3B" w14:textId="77777777" w:rsidR="00DF0DB5" w:rsidRDefault="002E6B38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>Приложение:</w:t>
      </w:r>
    </w:p>
    <w:p w14:paraId="3BC271DB" w14:textId="77777777" w:rsidR="00DF0DB5" w:rsidRDefault="00DF0DB5">
      <w:pPr>
        <w:jc w:val="both"/>
        <w:rPr>
          <w:rFonts w:ascii="Times New Roman" w:hAnsi="Times New Roman"/>
        </w:rPr>
      </w:pPr>
    </w:p>
    <w:p w14:paraId="2D96AFC8" w14:textId="77777777" w:rsidR="00DF0DB5" w:rsidRDefault="002E6B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08E2619A" w14:textId="77777777" w:rsidR="00DF0DB5" w:rsidRDefault="002E6B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_______________________________________________</w:t>
      </w:r>
    </w:p>
    <w:p w14:paraId="6FC71188" w14:textId="77777777" w:rsidR="00DF0DB5" w:rsidRDefault="002E6B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  "_____" _____________ 2025 года</w:t>
      </w:r>
    </w:p>
    <w:sectPr w:rsidR="00DF0DB5">
      <w:footerReference w:type="default" r:id="rId9"/>
      <w:footerReference w:type="first" r:id="rId10"/>
      <w:pgSz w:w="11906" w:h="16838"/>
      <w:pgMar w:top="709" w:right="850" w:bottom="822" w:left="1701" w:header="0" w:footer="4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8A5D" w14:textId="77777777" w:rsidR="00DF0DB5" w:rsidRDefault="002E6B38">
      <w:r>
        <w:separator/>
      </w:r>
    </w:p>
  </w:endnote>
  <w:endnote w:type="continuationSeparator" w:id="0">
    <w:p w14:paraId="5B43925F" w14:textId="77777777" w:rsidR="00DF0DB5" w:rsidRDefault="002E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243452"/>
      <w:docPartObj>
        <w:docPartGallery w:val="Page Numbers (Bottom of Page)"/>
        <w:docPartUnique/>
      </w:docPartObj>
    </w:sdtPr>
    <w:sdtEndPr/>
    <w:sdtContent>
      <w:p w14:paraId="713DF7AD" w14:textId="77777777" w:rsidR="00DF0DB5" w:rsidRDefault="002E6B38">
        <w:pPr>
          <w:pStyle w:val="aff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39D68" w14:textId="77777777" w:rsidR="00DF0DB5" w:rsidRDefault="00DF0DB5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3B8E" w14:textId="77777777" w:rsidR="00DF0DB5" w:rsidRDefault="00DF0DB5" w:rsidP="002E6B38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FECD9" w14:textId="77777777" w:rsidR="00DF0DB5" w:rsidRDefault="002E6B38">
      <w:pPr>
        <w:rPr>
          <w:sz w:val="12"/>
        </w:rPr>
      </w:pPr>
      <w:r>
        <w:separator/>
      </w:r>
    </w:p>
  </w:footnote>
  <w:footnote w:type="continuationSeparator" w:id="0">
    <w:p w14:paraId="57F29B57" w14:textId="77777777" w:rsidR="00DF0DB5" w:rsidRDefault="002E6B38">
      <w:pPr>
        <w:rPr>
          <w:sz w:val="12"/>
        </w:rPr>
      </w:pPr>
      <w:r>
        <w:continuationSeparator/>
      </w:r>
    </w:p>
  </w:footnote>
  <w:footnote w:id="1">
    <w:p w14:paraId="1E421FE6" w14:textId="77777777" w:rsidR="00DF0DB5" w:rsidRDefault="002E6B38">
      <w:pPr>
        <w:pStyle w:val="afa"/>
        <w:rPr>
          <w:rFonts w:ascii="Times New Roman" w:eastAsia="Times New Roman" w:hAnsi="Times New Roman"/>
          <w:lang w:eastAsia="ru-RU"/>
        </w:rPr>
      </w:pPr>
      <w:r>
        <w:rPr>
          <w:rStyle w:val="aff5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69CE85DB" w14:textId="77777777" w:rsidR="00DF0DB5" w:rsidRDefault="002E6B38">
      <w:pPr>
        <w:pStyle w:val="afa"/>
      </w:pPr>
      <w:r>
        <w:rPr>
          <w:rFonts w:ascii="Times New Roman" w:eastAsia="Times New Roman" w:hAnsi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B5"/>
    <w:rsid w:val="002E6B38"/>
    <w:rsid w:val="00CB3D80"/>
    <w:rsid w:val="00D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E292"/>
  <w15:docId w15:val="{8B7C3C21-187F-4FBE-9F12-513A24C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Текст сноски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1">
    <w:name w:val="Верхний колонтитул Знак"/>
    <w:basedOn w:val="a0"/>
    <w:link w:val="aff2"/>
    <w:uiPriority w:val="99"/>
    <w:qFormat/>
    <w:rPr>
      <w:rFonts w:ascii="Calibri" w:eastAsia="Calibri" w:hAnsi="Calibri" w:cs="Times New Roman"/>
    </w:rPr>
  </w:style>
  <w:style w:type="character" w:customStyle="1" w:styleId="aff3">
    <w:name w:val="Нижний колонтитул Знак"/>
    <w:basedOn w:val="a0"/>
    <w:link w:val="aff4"/>
    <w:uiPriority w:val="99"/>
    <w:qFormat/>
    <w:rPr>
      <w:rFonts w:ascii="Calibri" w:eastAsia="Calibri" w:hAnsi="Calibri" w:cs="Times New Roman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qFormat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0">
    <w:name w:val="Колонтитул"/>
    <w:basedOn w:val="a"/>
    <w:qFormat/>
  </w:style>
  <w:style w:type="paragraph" w:styleId="aff2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1077</Words>
  <Characters>6141</Characters>
  <Application>Microsoft Office Word</Application>
  <DocSecurity>4</DocSecurity>
  <Lines>51</Lines>
  <Paragraphs>14</Paragraphs>
  <ScaleCrop>false</ScaleCrop>
  <Company>Hewlett-Packard Company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РАД АО</cp:lastModifiedBy>
  <cp:revision>2</cp:revision>
  <dcterms:created xsi:type="dcterms:W3CDTF">2025-02-28T13:01:00Z</dcterms:created>
  <dcterms:modified xsi:type="dcterms:W3CDTF">2025-02-28T13:01:00Z</dcterms:modified>
  <dc:language>ru-RU</dc:language>
</cp:coreProperties>
</file>