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_rels/document.xml.rels" ContentType="application/vnd.openxmlformats-package.relationships+xml"/>
  <Override PartName="/word/numbering.xml" ContentType="application/vnd.openxmlformats-officedocument.wordprocessingml.numbering+xml"/>
  <Override PartName="/word/footer2.xml" ContentType="application/vnd.openxmlformats-officedocument.wordprocessingml.footer+xml"/>
  <Override PartName="/word/footer1.xml" ContentType="application/vnd.openxmlformats-officedocument.wordprocessingml.footer+xml"/>
  <Override PartName="/word/fontTable.xml" ContentType="application/vnd.openxmlformats-officedocument.wordprocessingml.fontTable+xml"/>
  <Override PartName="/word/media/image2.jpeg" ContentType="image/jpeg"/>
  <Override PartName="/word/media/image1.jpeg" ContentType="image/jpeg"/>
  <Override PartName="/word/media/image4.jpeg" ContentType="image/jpeg"/>
  <Override PartName="/word/media/image3.jpeg" ContentType="image/jpeg"/>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jc w:val="right"/>
        <w:rPr>
          <w:sz w:val="24"/>
          <w:szCs w:val="24"/>
        </w:rPr>
      </w:pPr>
      <w:r>
        <w:rPr>
          <w:sz w:val="24"/>
          <w:szCs w:val="24"/>
        </w:rPr>
      </w:r>
    </w:p>
    <w:p>
      <w:pPr>
        <w:pStyle w:val="Normal"/>
        <w:jc w:val="right"/>
        <w:rPr>
          <w:sz w:val="24"/>
          <w:szCs w:val="24"/>
        </w:rPr>
      </w:pPr>
      <w:r>
        <w:rPr>
          <w:sz w:val="24"/>
          <w:szCs w:val="24"/>
        </w:rPr>
      </w:r>
    </w:p>
    <w:p>
      <w:pPr>
        <w:pStyle w:val="Normal"/>
        <w:jc w:val="right"/>
        <w:rPr>
          <w:b/>
          <w:sz w:val="22"/>
          <w:szCs w:val="22"/>
        </w:rPr>
      </w:pPr>
      <w:r>
        <w:rPr>
          <w:b/>
          <w:sz w:val="22"/>
          <w:szCs w:val="22"/>
        </w:rPr>
      </w:r>
    </w:p>
    <w:p>
      <w:pPr>
        <w:pStyle w:val="Normal"/>
        <w:jc w:val="right"/>
        <w:rPr>
          <w:b/>
          <w:sz w:val="22"/>
          <w:szCs w:val="22"/>
        </w:rPr>
      </w:pPr>
      <w:r>
        <w:rPr>
          <w:b/>
          <w:sz w:val="22"/>
          <w:szCs w:val="22"/>
        </w:rPr>
      </w:r>
    </w:p>
    <w:p>
      <w:pPr>
        <w:pStyle w:val="Normal"/>
        <w:jc w:val="right"/>
        <w:rPr>
          <w:b/>
          <w:sz w:val="22"/>
          <w:szCs w:val="22"/>
        </w:rPr>
      </w:pPr>
      <w:r>
        <w:rPr>
          <w:b/>
          <w:sz w:val="22"/>
          <w:szCs w:val="22"/>
        </w:rPr>
      </w:r>
    </w:p>
    <w:p>
      <w:pPr>
        <w:pStyle w:val="Normal"/>
        <w:rPr/>
      </w:pPr>
      <w:r>
        <w:rPr/>
      </w:r>
    </w:p>
    <w:p>
      <w:pPr>
        <w:pStyle w:val="Normal"/>
        <w:rPr/>
      </w:pPr>
      <w:r>
        <w:rPr/>
      </w:r>
    </w:p>
    <w:p>
      <w:pPr>
        <w:pStyle w:val="Normal"/>
        <w:rPr/>
      </w:pPr>
      <w:r>
        <w:rPr/>
      </w:r>
    </w:p>
    <w:p>
      <w:pPr>
        <w:pStyle w:val="Normal"/>
        <w:numPr>
          <w:ilvl w:val="0"/>
          <w:numId w:val="0"/>
        </w:numPr>
        <w:spacing w:before="480" w:after="0"/>
        <w:ind w:left="0" w:hanging="0"/>
        <w:jc w:val="center"/>
        <w:outlineLvl w:val="4"/>
        <w:rPr>
          <w:b/>
          <w:sz w:val="32"/>
          <w:szCs w:val="32"/>
        </w:rPr>
      </w:pPr>
      <w:bookmarkStart w:id="0" w:name="_Toc518119232"/>
      <w:r>
        <w:rPr>
          <w:b/>
          <w:sz w:val="32"/>
          <w:szCs w:val="32"/>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 xml:space="preserve">о продаже имущества ПАО «РусГидро», </w:t>
      </w:r>
    </w:p>
    <w:p>
      <w:pPr>
        <w:pStyle w:val="Normal"/>
        <w:numPr>
          <w:ilvl w:val="0"/>
          <w:numId w:val="0"/>
        </w:numPr>
        <w:spacing w:before="0" w:after="0"/>
        <w:ind w:left="0" w:hanging="0"/>
        <w:jc w:val="center"/>
        <w:outlineLvl w:val="4"/>
        <w:rPr>
          <w:b/>
          <w:sz w:val="32"/>
          <w:szCs w:val="32"/>
        </w:rPr>
      </w:pPr>
      <w:r>
        <w:rPr>
          <w:b/>
          <w:sz w:val="32"/>
          <w:szCs w:val="32"/>
        </w:rPr>
        <w:t>находящегося на балансе</w:t>
      </w:r>
    </w:p>
    <w:p>
      <w:pPr>
        <w:pStyle w:val="Normal"/>
        <w:spacing w:before="0" w:after="0"/>
        <w:jc w:val="center"/>
        <w:rPr>
          <w:b/>
          <w:sz w:val="32"/>
          <w:szCs w:val="32"/>
        </w:rPr>
      </w:pPr>
      <w:r>
        <w:rPr>
          <w:b/>
          <w:sz w:val="32"/>
          <w:szCs w:val="32"/>
        </w:rPr>
        <w:t>Филиала ПАО «РусГидро» - «Зейская ГЭС»</w:t>
      </w:r>
    </w:p>
    <w:p>
      <w:pPr>
        <w:pStyle w:val="Normal"/>
        <w:numPr>
          <w:ilvl w:val="0"/>
          <w:numId w:val="0"/>
        </w:numPr>
        <w:spacing w:before="0" w:after="0"/>
        <w:ind w:left="0" w:hanging="0"/>
        <w:jc w:val="center"/>
        <w:outlineLvl w:val="4"/>
        <w:rPr>
          <w:b/>
          <w:sz w:val="32"/>
          <w:szCs w:val="32"/>
        </w:rPr>
      </w:pPr>
      <w:r>
        <w:rPr>
          <w:b/>
          <w:sz w:val="32"/>
          <w:szCs w:val="32"/>
        </w:rPr>
      </w:r>
    </w:p>
    <w:p>
      <w:pPr>
        <w:pStyle w:val="Normal"/>
        <w:numPr>
          <w:ilvl w:val="0"/>
          <w:numId w:val="0"/>
        </w:numPr>
        <w:spacing w:before="0" w:after="0"/>
        <w:ind w:left="0" w:hanging="0"/>
        <w:jc w:val="center"/>
        <w:outlineLvl w:val="4"/>
        <w:rPr>
          <w:szCs w:val="28"/>
        </w:rPr>
      </w:pPr>
      <w:r>
        <w:rPr>
          <w:szCs w:val="28"/>
        </w:rPr>
      </w:r>
    </w:p>
    <w:p>
      <w:pPr>
        <w:pStyle w:val="Normal"/>
        <w:ind w:firstLine="1134"/>
        <w:jc w:val="center"/>
        <w:rPr/>
      </w:pPr>
      <w:r>
        <w:rPr/>
        <w:t xml:space="preserve">АУКЦИОН НА ПОВЫШЕНИЕ НА ПРАВО ЗАКЛЮЧЕНИЯ </w:t>
      </w:r>
    </w:p>
    <w:p>
      <w:pPr>
        <w:pStyle w:val="Normal"/>
        <w:ind w:firstLine="1134"/>
        <w:jc w:val="center"/>
        <w:rPr/>
      </w:pPr>
      <w:r>
        <w:rPr/>
        <w:t xml:space="preserve">ДОГОВОРА  КУПЛИ-ПРОДАЖИ  ТЕПЛОВОДОСЕТЕЙ, </w:t>
      </w:r>
    </w:p>
    <w:p>
      <w:pPr>
        <w:pStyle w:val="Normal"/>
        <w:ind w:firstLine="1134"/>
        <w:jc w:val="center"/>
        <w:rPr/>
      </w:pPr>
      <w:r>
        <w:rPr/>
        <w:t xml:space="preserve">РАСПОЛОЖЕННЫХ ПО АДРЕСУ: АМУРСКАЯ ОБЛАСТЬ, Г. ЗЕЯ </w:t>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ind w:firstLine="1134"/>
        <w:jc w:val="center"/>
        <w:rPr/>
      </w:pPr>
      <w:r>
        <w:rPr/>
      </w:r>
    </w:p>
    <w:p>
      <w:pPr>
        <w:pStyle w:val="Normal"/>
        <w:numPr>
          <w:ilvl w:val="0"/>
          <w:numId w:val="0"/>
        </w:numPr>
        <w:spacing w:before="480" w:after="360"/>
        <w:ind w:left="0" w:hanging="0"/>
        <w:jc w:val="center"/>
        <w:outlineLvl w:val="4"/>
        <w:rPr>
          <w:b/>
          <w:sz w:val="28"/>
        </w:rPr>
      </w:pPr>
      <w:r>
        <w:rPr>
          <w:b/>
          <w:sz w:val="28"/>
        </w:rPr>
        <w:t>СОДЕРЖАНИЕ</w:t>
      </w:r>
    </w:p>
    <w:sdt>
      <w:sdtPr>
        <w:docPartObj>
          <w:docPartGallery w:val="Table of Contents"/>
          <w:docPartUnique w:val="true"/>
        </w:docPartObj>
      </w:sdtPr>
      <w:sdtContent>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r>
            <w:fldChar w:fldCharType="begin"/>
          </w:r>
          <w:r>
            <w:rPr>
              <w:webHidden/>
              <w:rStyle w:val="Style13"/>
              <w:vanish w:val="false"/>
            </w:rPr>
            <w:instrText xml:space="preserve"> TOC \z \o "1-2" \h</w:instrText>
          </w:r>
          <w:r>
            <w:rPr>
              <w:webHidden/>
              <w:rStyle w:val="Style13"/>
              <w:vanish w:val="false"/>
            </w:rPr>
            <w:fldChar w:fldCharType="separate"/>
          </w:r>
          <w:hyperlink w:anchor="_Toc43469219">
            <w:r>
              <w:rPr>
                <w:webHidden/>
              </w:rPr>
              <w:fldChar w:fldCharType="begin"/>
            </w:r>
            <w:r>
              <w:rPr>
                <w:webHidden/>
              </w:rPr>
              <w:instrText xml:space="preserve">PAGEREF _Toc43469219 \h</w:instrText>
            </w:r>
            <w:r>
              <w:rPr>
                <w:webHidden/>
              </w:rPr>
              <w:fldChar w:fldCharType="separate"/>
            </w:r>
            <w:r>
              <w:rPr>
                <w:webHidden/>
                <w:rStyle w:val="Style13"/>
                <w:vanish w:val="false"/>
              </w:rPr>
              <w:t>СОКРАЩЕНИЯ4</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20">
            <w:r>
              <w:rPr>
                <w:webHidden/>
              </w:rPr>
              <w:fldChar w:fldCharType="begin"/>
            </w:r>
            <w:r>
              <w:rPr>
                <w:webHidden/>
              </w:rPr>
              <w:instrText xml:space="preserve">PAGEREF _Toc43469220 \h</w:instrText>
            </w:r>
            <w:r>
              <w:rPr>
                <w:webHidden/>
              </w:rPr>
              <w:fldChar w:fldCharType="separate"/>
            </w:r>
            <w:r>
              <w:rPr>
                <w:webHidden/>
                <w:rStyle w:val="Style13"/>
                <w:vanish w:val="false"/>
              </w:rPr>
              <w:t>ТЕРМИНЫ И ОПРЕДЕЛЕНИЯ5</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21">
            <w:r>
              <w:rPr>
                <w:webHidden/>
                <w:rStyle w:val="Style13"/>
                <w:vanish w:val="false"/>
              </w:rPr>
              <w:t>1.</w:t>
            </w:r>
            <w:r>
              <w:rPr>
                <w:rStyle w:val="Style13"/>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3"/>
              </w:rPr>
              <w:t>ОСНОВНЫЕ СВЕДЕНИЯ О ПРОДАЖЕ</w:t>
            </w:r>
            <w:r>
              <w:rPr>
                <w:webHidden/>
              </w:rPr>
              <w:fldChar w:fldCharType="begin"/>
            </w:r>
            <w:r>
              <w:rPr>
                <w:webHidden/>
              </w:rPr>
              <w:instrText xml:space="preserve">PAGEREF _Toc43469221 \h</w:instrText>
            </w:r>
            <w:r>
              <w:rPr>
                <w:webHidden/>
              </w:rPr>
              <w:fldChar w:fldCharType="separate"/>
            </w:r>
            <w:r>
              <w:rPr>
                <w:rStyle w:val="Style13"/>
                <w:vanish w:val="false"/>
              </w:rPr>
              <w:t>6</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22">
            <w:r>
              <w:rPr>
                <w:webHidden/>
                <w:rStyle w:val="Style13"/>
                <w:vanish w:val="false"/>
              </w:rPr>
              <w:t>1.1</w:t>
            </w:r>
            <w:r>
              <w:rPr>
                <w:rStyle w:val="Style13"/>
                <w:rFonts w:eastAsia="ＭＳ 明朝" w:cs="Arial" w:ascii="Calibri" w:hAnsi="Calibri" w:asciiTheme="minorHAnsi" w:cstheme="minorBidi" w:eastAsiaTheme="minorEastAsia" w:hAnsiTheme="minorHAnsi"/>
                <w:b w:val="false"/>
                <w:sz w:val="22"/>
                <w:szCs w:val="22"/>
              </w:rPr>
              <w:tab/>
            </w:r>
            <w:r>
              <w:rPr>
                <w:rStyle w:val="Style13"/>
              </w:rPr>
              <w:t>Статус настоящего раздела</w:t>
            </w:r>
            <w:r>
              <w:rPr>
                <w:webHidden/>
              </w:rPr>
              <w:fldChar w:fldCharType="begin"/>
            </w:r>
            <w:r>
              <w:rPr>
                <w:webHidden/>
              </w:rPr>
              <w:instrText xml:space="preserve">PAGEREF _Toc43469222 \h</w:instrText>
            </w:r>
            <w:r>
              <w:rPr>
                <w:webHidden/>
              </w:rPr>
              <w:fldChar w:fldCharType="separate"/>
            </w:r>
            <w:r>
              <w:rPr>
                <w:rStyle w:val="Style13"/>
                <w:vanish w:val="false"/>
              </w:rPr>
              <w:t>6</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23">
            <w:r>
              <w:rPr>
                <w:webHidden/>
                <w:rStyle w:val="Style13"/>
                <w:vanish w:val="false"/>
              </w:rPr>
              <w:t>1.2</w:t>
            </w:r>
            <w:r>
              <w:rPr>
                <w:rStyle w:val="Style13"/>
                <w:rFonts w:eastAsia="ＭＳ 明朝" w:cs="Arial" w:ascii="Calibri" w:hAnsi="Calibri" w:asciiTheme="minorHAnsi" w:cstheme="minorBidi" w:eastAsiaTheme="minorEastAsia" w:hAnsiTheme="minorHAnsi"/>
                <w:b w:val="false"/>
                <w:sz w:val="22"/>
                <w:szCs w:val="22"/>
              </w:rPr>
              <w:tab/>
            </w:r>
            <w:r>
              <w:rPr>
                <w:rStyle w:val="Style13"/>
              </w:rPr>
              <w:t>Информация о проводимом аукционе</w:t>
            </w:r>
            <w:r>
              <w:rPr>
                <w:webHidden/>
              </w:rPr>
              <w:fldChar w:fldCharType="begin"/>
            </w:r>
            <w:r>
              <w:rPr>
                <w:webHidden/>
              </w:rPr>
              <w:instrText xml:space="preserve">PAGEREF _Toc43469223 \h</w:instrText>
            </w:r>
            <w:r>
              <w:rPr>
                <w:webHidden/>
              </w:rPr>
              <w:fldChar w:fldCharType="separate"/>
            </w:r>
            <w:r>
              <w:rPr>
                <w:rStyle w:val="Style13"/>
                <w:vanish w:val="false"/>
              </w:rPr>
              <w:t>6</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24">
            <w:r>
              <w:rPr>
                <w:webHidden/>
                <w:rStyle w:val="Style13"/>
                <w:vanish w:val="false"/>
              </w:rPr>
              <w:t>2.</w:t>
            </w:r>
            <w:r>
              <w:rPr>
                <w:rStyle w:val="Style13"/>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3"/>
              </w:rPr>
              <w:t>ОБЩИЕ ПОЛОЖЕНИЯ</w:t>
            </w:r>
            <w:r>
              <w:rPr>
                <w:webHidden/>
              </w:rPr>
              <w:fldChar w:fldCharType="begin"/>
            </w:r>
            <w:r>
              <w:rPr>
                <w:webHidden/>
              </w:rPr>
              <w:instrText xml:space="preserve">PAGEREF _Toc43469224 \h</w:instrText>
            </w:r>
            <w:r>
              <w:rPr>
                <w:webHidden/>
              </w:rPr>
              <w:fldChar w:fldCharType="separate"/>
            </w:r>
            <w:r>
              <w:rPr>
                <w:rStyle w:val="Style13"/>
                <w:vanish w:val="false"/>
              </w:rPr>
              <w:t>9</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25">
            <w:r>
              <w:rPr>
                <w:webHidden/>
                <w:rStyle w:val="Style13"/>
                <w:vanish w:val="false"/>
              </w:rPr>
              <w:t>2.1</w:t>
            </w:r>
            <w:r>
              <w:rPr>
                <w:rStyle w:val="Style13"/>
                <w:rFonts w:eastAsia="ＭＳ 明朝" w:cs="Arial" w:ascii="Calibri" w:hAnsi="Calibri" w:asciiTheme="minorHAnsi" w:cstheme="minorBidi" w:eastAsiaTheme="minorEastAsia" w:hAnsiTheme="minorHAnsi"/>
                <w:b w:val="false"/>
                <w:sz w:val="22"/>
                <w:szCs w:val="22"/>
              </w:rPr>
              <w:tab/>
            </w:r>
            <w:r>
              <w:rPr>
                <w:rStyle w:val="Style13"/>
              </w:rPr>
              <w:t>Общие сведения о продаже</w:t>
            </w:r>
            <w:r>
              <w:rPr>
                <w:webHidden/>
              </w:rPr>
              <w:fldChar w:fldCharType="begin"/>
            </w:r>
            <w:r>
              <w:rPr>
                <w:webHidden/>
              </w:rPr>
              <w:instrText xml:space="preserve">PAGEREF _Toc43469225 \h</w:instrText>
            </w:r>
            <w:r>
              <w:rPr>
                <w:webHidden/>
              </w:rPr>
              <w:fldChar w:fldCharType="separate"/>
            </w:r>
            <w:r>
              <w:rPr>
                <w:rStyle w:val="Style13"/>
                <w:vanish w:val="false"/>
              </w:rPr>
              <w:t>9</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26">
            <w:r>
              <w:rPr>
                <w:webHidden/>
                <w:rStyle w:val="Style13"/>
                <w:vanish w:val="false"/>
              </w:rPr>
              <w:t>2.2</w:t>
            </w:r>
            <w:r>
              <w:rPr>
                <w:rStyle w:val="Style13"/>
                <w:rFonts w:eastAsia="ＭＳ 明朝" w:cs="Arial" w:ascii="Calibri" w:hAnsi="Calibri" w:asciiTheme="minorHAnsi" w:cstheme="minorBidi" w:eastAsiaTheme="minorEastAsia" w:hAnsiTheme="minorHAnsi"/>
                <w:b w:val="false"/>
                <w:sz w:val="22"/>
                <w:szCs w:val="22"/>
              </w:rPr>
              <w:tab/>
            </w:r>
            <w:r>
              <w:rPr>
                <w:rStyle w:val="Style13"/>
              </w:rPr>
              <w:t>Правовой статус документов</w:t>
            </w:r>
            <w:r>
              <w:rPr>
                <w:webHidden/>
              </w:rPr>
              <w:fldChar w:fldCharType="begin"/>
            </w:r>
            <w:r>
              <w:rPr>
                <w:webHidden/>
              </w:rPr>
              <w:instrText xml:space="preserve">PAGEREF _Toc43469226 \h</w:instrText>
            </w:r>
            <w:r>
              <w:rPr>
                <w:webHidden/>
              </w:rPr>
              <w:fldChar w:fldCharType="separate"/>
            </w:r>
            <w:r>
              <w:rPr>
                <w:rStyle w:val="Style13"/>
                <w:vanish w:val="false"/>
              </w:rPr>
              <w:t>9</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27">
            <w:r>
              <w:rPr>
                <w:webHidden/>
                <w:rStyle w:val="Style13"/>
                <w:vanish w:val="false"/>
              </w:rPr>
              <w:t>2.3</w:t>
            </w:r>
            <w:r>
              <w:rPr>
                <w:rStyle w:val="Style13"/>
                <w:rFonts w:eastAsia="ＭＳ 明朝" w:cs="Arial" w:ascii="Calibri" w:hAnsi="Calibri" w:asciiTheme="minorHAnsi" w:cstheme="minorBidi" w:eastAsiaTheme="minorEastAsia" w:hAnsiTheme="minorHAnsi"/>
                <w:b w:val="false"/>
                <w:sz w:val="22"/>
                <w:szCs w:val="22"/>
              </w:rPr>
              <w:tab/>
            </w:r>
            <w:r>
              <w:rPr>
                <w:rStyle w:val="Style13"/>
              </w:rPr>
              <w:t>Особые положения при проведении аукциона с использованием ЭТП</w:t>
            </w:r>
            <w:r>
              <w:rPr>
                <w:webHidden/>
              </w:rPr>
              <w:fldChar w:fldCharType="begin"/>
            </w:r>
            <w:r>
              <w:rPr>
                <w:webHidden/>
              </w:rPr>
              <w:instrText xml:space="preserve">PAGEREF _Toc43469227 \h</w:instrText>
            </w:r>
            <w:r>
              <w:rPr>
                <w:webHidden/>
              </w:rPr>
              <w:fldChar w:fldCharType="separate"/>
            </w:r>
            <w:r>
              <w:rPr>
                <w:rStyle w:val="Style13"/>
                <w:vanish w:val="false"/>
              </w:rPr>
              <w:t>9</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28">
            <w:r>
              <w:rPr>
                <w:webHidden/>
                <w:rStyle w:val="Style13"/>
                <w:vanish w:val="false"/>
              </w:rPr>
              <w:t>2.4</w:t>
            </w:r>
            <w:r>
              <w:rPr>
                <w:rStyle w:val="Style13"/>
                <w:rFonts w:eastAsia="ＭＳ 明朝" w:cs="Arial" w:ascii="Calibri" w:hAnsi="Calibri" w:asciiTheme="minorHAnsi" w:cstheme="minorBidi" w:eastAsiaTheme="minorEastAsia" w:hAnsiTheme="minorHAnsi"/>
                <w:b w:val="false"/>
                <w:sz w:val="22"/>
                <w:szCs w:val="22"/>
              </w:rPr>
              <w:tab/>
            </w:r>
            <w:r>
              <w:rPr>
                <w:rStyle w:val="Style13"/>
              </w:rPr>
              <w:t>Прочие положения</w:t>
            </w:r>
            <w:r>
              <w:rPr>
                <w:webHidden/>
              </w:rPr>
              <w:fldChar w:fldCharType="begin"/>
            </w:r>
            <w:r>
              <w:rPr>
                <w:webHidden/>
              </w:rPr>
              <w:instrText xml:space="preserve">PAGEREF _Toc43469228 \h</w:instrText>
            </w:r>
            <w:r>
              <w:rPr>
                <w:webHidden/>
              </w:rPr>
              <w:fldChar w:fldCharType="separate"/>
            </w:r>
            <w:r>
              <w:rPr>
                <w:rStyle w:val="Style13"/>
                <w:vanish w:val="false"/>
              </w:rPr>
              <w:t>9</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29">
            <w:r>
              <w:rPr>
                <w:webHidden/>
                <w:rStyle w:val="Style13"/>
                <w:vanish w:val="false"/>
              </w:rPr>
              <w:t>3.</w:t>
            </w:r>
            <w:r>
              <w:rPr>
                <w:rStyle w:val="Style13"/>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3"/>
              </w:rPr>
              <w:t>ПРЕДМЕТ ПРОДАЖИ</w:t>
            </w:r>
            <w:r>
              <w:rPr>
                <w:webHidden/>
              </w:rPr>
              <w:fldChar w:fldCharType="begin"/>
            </w:r>
            <w:r>
              <w:rPr>
                <w:webHidden/>
              </w:rPr>
              <w:instrText xml:space="preserve">PAGEREF _Toc43469229 \h</w:instrText>
            </w:r>
            <w:r>
              <w:rPr>
                <w:webHidden/>
              </w:rPr>
              <w:fldChar w:fldCharType="separate"/>
            </w:r>
            <w:r>
              <w:rPr>
                <w:rStyle w:val="Style13"/>
                <w:vanish w:val="false"/>
              </w:rPr>
              <w:t>11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30">
            <w:r>
              <w:rPr>
                <w:webHidden/>
                <w:rStyle w:val="Style13"/>
                <w:vanish w:val="false"/>
              </w:rPr>
              <w:t>3.1</w:t>
            </w:r>
            <w:r>
              <w:rPr>
                <w:rStyle w:val="Style13"/>
                <w:rFonts w:eastAsia="ＭＳ 明朝" w:cs="Arial" w:ascii="Calibri" w:hAnsi="Calibri" w:asciiTheme="minorHAnsi" w:cstheme="minorBidi" w:eastAsiaTheme="minorEastAsia" w:hAnsiTheme="minorHAnsi"/>
                <w:b w:val="false"/>
                <w:sz w:val="22"/>
                <w:szCs w:val="22"/>
              </w:rPr>
              <w:tab/>
            </w:r>
            <w:r>
              <w:rPr>
                <w:rStyle w:val="Style13"/>
              </w:rPr>
              <w:t>Информация о предмете продажи</w:t>
            </w:r>
            <w:r>
              <w:rPr>
                <w:webHidden/>
              </w:rPr>
              <w:fldChar w:fldCharType="begin"/>
            </w:r>
            <w:r>
              <w:rPr>
                <w:webHidden/>
              </w:rPr>
              <w:instrText xml:space="preserve">PAGEREF _Toc43469230 \h</w:instrText>
            </w:r>
            <w:r>
              <w:rPr>
                <w:webHidden/>
              </w:rPr>
              <w:fldChar w:fldCharType="separate"/>
            </w:r>
            <w:r>
              <w:rPr>
                <w:rStyle w:val="Style13"/>
                <w:vanish w:val="false"/>
              </w:rPr>
              <w:t>11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31">
            <w:r>
              <w:rPr>
                <w:webHidden/>
                <w:rStyle w:val="Style13"/>
                <w:vanish w:val="false"/>
              </w:rPr>
              <w:t>3.2</w:t>
            </w:r>
            <w:r>
              <w:rPr>
                <w:rStyle w:val="Style13"/>
                <w:rFonts w:eastAsia="ＭＳ 明朝" w:cs="Arial" w:ascii="Calibri" w:hAnsi="Calibri" w:asciiTheme="minorHAnsi" w:cstheme="minorBidi" w:eastAsiaTheme="minorEastAsia" w:hAnsiTheme="minorHAnsi"/>
                <w:b w:val="false"/>
                <w:sz w:val="22"/>
                <w:szCs w:val="22"/>
              </w:rPr>
              <w:tab/>
            </w:r>
            <w:r>
              <w:rPr>
                <w:rStyle w:val="Style13"/>
              </w:rPr>
              <w:t>Порядок ознакомления с предметом продажи</w:t>
            </w:r>
            <w:r>
              <w:rPr>
                <w:webHidden/>
              </w:rPr>
              <w:fldChar w:fldCharType="begin"/>
            </w:r>
            <w:r>
              <w:rPr>
                <w:webHidden/>
              </w:rPr>
              <w:instrText xml:space="preserve">PAGEREF _Toc43469231 \h</w:instrText>
            </w:r>
            <w:r>
              <w:rPr>
                <w:webHidden/>
              </w:rPr>
              <w:fldChar w:fldCharType="separate"/>
            </w:r>
            <w:r>
              <w:rPr>
                <w:rStyle w:val="Style13"/>
                <w:vanish w:val="false"/>
              </w:rPr>
              <w:t>11</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32">
            <w:r>
              <w:rPr>
                <w:webHidden/>
                <w:rStyle w:val="Style13"/>
                <w:vanish w:val="false"/>
              </w:rPr>
              <w:t>4.</w:t>
            </w:r>
            <w:r>
              <w:rPr>
                <w:rStyle w:val="Style13"/>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3"/>
              </w:rPr>
              <w:t>ТРЕБОВАНИЯ К УЧАСТНИКАМ АУКЦИОНА</w:t>
            </w:r>
            <w:r>
              <w:rPr>
                <w:webHidden/>
              </w:rPr>
              <w:fldChar w:fldCharType="begin"/>
            </w:r>
            <w:r>
              <w:rPr>
                <w:webHidden/>
              </w:rPr>
              <w:instrText xml:space="preserve">PAGEREF _Toc43469232 \h</w:instrText>
            </w:r>
            <w:r>
              <w:rPr>
                <w:webHidden/>
              </w:rPr>
              <w:fldChar w:fldCharType="separate"/>
            </w:r>
            <w:r>
              <w:rPr>
                <w:rStyle w:val="Style13"/>
                <w:vanish w:val="false"/>
              </w:rPr>
              <w:t>13</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33">
            <w:r>
              <w:rPr>
                <w:webHidden/>
                <w:rStyle w:val="Style13"/>
                <w:vanish w:val="false"/>
              </w:rPr>
              <w:t>4.1</w:t>
            </w:r>
            <w:r>
              <w:rPr>
                <w:rStyle w:val="Style13"/>
                <w:rFonts w:eastAsia="ＭＳ 明朝" w:cs="Arial" w:ascii="Calibri" w:hAnsi="Calibri" w:asciiTheme="minorHAnsi" w:cstheme="minorBidi" w:eastAsiaTheme="minorEastAsia" w:hAnsiTheme="minorHAnsi"/>
                <w:b w:val="false"/>
                <w:sz w:val="22"/>
                <w:szCs w:val="22"/>
              </w:rPr>
              <w:tab/>
            </w:r>
            <w:r>
              <w:rPr>
                <w:rStyle w:val="Style13"/>
              </w:rPr>
              <w:t>Требования к Участникам аукциона</w:t>
            </w:r>
            <w:r>
              <w:rPr>
                <w:webHidden/>
              </w:rPr>
              <w:fldChar w:fldCharType="begin"/>
            </w:r>
            <w:r>
              <w:rPr>
                <w:webHidden/>
              </w:rPr>
              <w:instrText xml:space="preserve">PAGEREF _Toc43469233 \h</w:instrText>
            </w:r>
            <w:r>
              <w:rPr>
                <w:webHidden/>
              </w:rPr>
              <w:fldChar w:fldCharType="separate"/>
            </w:r>
            <w:r>
              <w:rPr>
                <w:rStyle w:val="Style13"/>
                <w:vanish w:val="false"/>
              </w:rPr>
              <w:t>13</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34">
            <w:r>
              <w:rPr>
                <w:webHidden/>
                <w:rStyle w:val="Style13"/>
                <w:vanish w:val="false"/>
              </w:rPr>
              <w:t>5.</w:t>
            </w:r>
            <w:r>
              <w:rPr>
                <w:rStyle w:val="Style13"/>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3"/>
              </w:rPr>
              <w:t>ПОРЯДОК ПРОВЕДЕНИЯ АУКЦИОНА. ИНСТРУКЦИИ ПО ПОДГОТОВКЕ ЗАЯВОК</w:t>
            </w:r>
            <w:r>
              <w:rPr>
                <w:webHidden/>
              </w:rPr>
              <w:fldChar w:fldCharType="begin"/>
            </w:r>
            <w:r>
              <w:rPr>
                <w:webHidden/>
              </w:rPr>
              <w:instrText xml:space="preserve">PAGEREF _Toc43469234 \h</w:instrText>
            </w:r>
            <w:r>
              <w:rPr>
                <w:webHidden/>
              </w:rPr>
              <w:fldChar w:fldCharType="separate"/>
            </w:r>
            <w:r>
              <w:rPr>
                <w:rStyle w:val="Style13"/>
                <w:vanish w:val="false"/>
              </w:rPr>
              <w:t>14</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35">
            <w:r>
              <w:rPr>
                <w:webHidden/>
                <w:rStyle w:val="Style13"/>
                <w:vanish w:val="false"/>
              </w:rPr>
              <w:t>5.1</w:t>
            </w:r>
            <w:r>
              <w:rPr>
                <w:rStyle w:val="Style13"/>
                <w:rFonts w:eastAsia="ＭＳ 明朝" w:cs="Arial" w:ascii="Calibri" w:hAnsi="Calibri" w:asciiTheme="minorHAnsi" w:cstheme="minorBidi" w:eastAsiaTheme="minorEastAsia" w:hAnsiTheme="minorHAnsi"/>
                <w:b w:val="false"/>
                <w:sz w:val="22"/>
                <w:szCs w:val="22"/>
              </w:rPr>
              <w:tab/>
            </w:r>
            <w:r>
              <w:rPr>
                <w:rStyle w:val="Style13"/>
              </w:rPr>
              <w:t>Общий порядок проведения аукциона</w:t>
            </w:r>
            <w:r>
              <w:rPr>
                <w:webHidden/>
              </w:rPr>
              <w:fldChar w:fldCharType="begin"/>
            </w:r>
            <w:r>
              <w:rPr>
                <w:webHidden/>
              </w:rPr>
              <w:instrText xml:space="preserve">PAGEREF _Toc43469235 \h</w:instrText>
            </w:r>
            <w:r>
              <w:rPr>
                <w:webHidden/>
              </w:rPr>
              <w:fldChar w:fldCharType="separate"/>
            </w:r>
            <w:r>
              <w:rPr>
                <w:rStyle w:val="Style13"/>
                <w:vanish w:val="false"/>
              </w:rPr>
              <w:t>14</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36">
            <w:r>
              <w:rPr>
                <w:webHidden/>
                <w:rStyle w:val="Style13"/>
                <w:vanish w:val="false"/>
              </w:rPr>
              <w:t>5.2</w:t>
            </w:r>
            <w:r>
              <w:rPr>
                <w:rStyle w:val="Style13"/>
                <w:rFonts w:eastAsia="ＭＳ 明朝" w:cs="Arial" w:ascii="Calibri" w:hAnsi="Calibri" w:asciiTheme="minorHAnsi" w:cstheme="minorBidi" w:eastAsiaTheme="minorEastAsia" w:hAnsiTheme="minorHAnsi"/>
                <w:b w:val="false"/>
                <w:sz w:val="22"/>
                <w:szCs w:val="22"/>
              </w:rPr>
              <w:tab/>
            </w:r>
            <w:r>
              <w:rPr>
                <w:rStyle w:val="Style13"/>
              </w:rPr>
              <w:t>Официальное размещение Извещения и Документации о продаже</w:t>
            </w:r>
            <w:r>
              <w:rPr>
                <w:webHidden/>
              </w:rPr>
              <w:fldChar w:fldCharType="begin"/>
            </w:r>
            <w:r>
              <w:rPr>
                <w:webHidden/>
              </w:rPr>
              <w:instrText xml:space="preserve">PAGEREF _Toc43469236 \h</w:instrText>
            </w:r>
            <w:r>
              <w:rPr>
                <w:webHidden/>
              </w:rPr>
              <w:fldChar w:fldCharType="separate"/>
            </w:r>
            <w:r>
              <w:rPr>
                <w:rStyle w:val="Style13"/>
                <w:vanish w:val="false"/>
              </w:rPr>
              <w:t>14</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37">
            <w:r>
              <w:rPr>
                <w:webHidden/>
                <w:rStyle w:val="Style13"/>
                <w:vanish w:val="false"/>
              </w:rPr>
              <w:t>5.3</w:t>
            </w:r>
            <w:r>
              <w:rPr>
                <w:rStyle w:val="Style13"/>
                <w:rFonts w:eastAsia="ＭＳ 明朝" w:cs="Arial" w:ascii="Calibri" w:hAnsi="Calibri" w:asciiTheme="minorHAnsi" w:cstheme="minorBidi" w:eastAsiaTheme="minorEastAsia" w:hAnsiTheme="minorHAnsi"/>
                <w:b w:val="false"/>
                <w:sz w:val="22"/>
                <w:szCs w:val="22"/>
              </w:rPr>
              <w:tab/>
            </w:r>
            <w:r>
              <w:rPr>
                <w:rStyle w:val="Style13"/>
              </w:rPr>
              <w:t>Разъяснение Документации о продаже</w:t>
            </w:r>
            <w:r>
              <w:rPr>
                <w:webHidden/>
              </w:rPr>
              <w:fldChar w:fldCharType="begin"/>
            </w:r>
            <w:r>
              <w:rPr>
                <w:webHidden/>
              </w:rPr>
              <w:instrText xml:space="preserve">PAGEREF _Toc43469237 \h</w:instrText>
            </w:r>
            <w:r>
              <w:rPr>
                <w:webHidden/>
              </w:rPr>
              <w:fldChar w:fldCharType="separate"/>
            </w:r>
            <w:r>
              <w:rPr>
                <w:rStyle w:val="Style13"/>
                <w:vanish w:val="false"/>
              </w:rPr>
              <w:t>14</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38">
            <w:r>
              <w:rPr>
                <w:webHidden/>
                <w:rStyle w:val="Style13"/>
                <w:vanish w:val="false"/>
              </w:rPr>
              <w:t>5.4</w:t>
            </w:r>
            <w:r>
              <w:rPr>
                <w:rStyle w:val="Style13"/>
                <w:rFonts w:eastAsia="ＭＳ 明朝" w:cs="Arial" w:ascii="Calibri" w:hAnsi="Calibri" w:asciiTheme="minorHAnsi" w:cstheme="minorBidi" w:eastAsiaTheme="minorEastAsia" w:hAnsiTheme="minorHAnsi"/>
                <w:b w:val="false"/>
                <w:sz w:val="22"/>
                <w:szCs w:val="22"/>
              </w:rPr>
              <w:tab/>
            </w:r>
            <w:r>
              <w:rPr>
                <w:rStyle w:val="Style13"/>
              </w:rPr>
              <w:t>Изменения Документации о продаже</w:t>
            </w:r>
            <w:r>
              <w:rPr>
                <w:webHidden/>
              </w:rPr>
              <w:fldChar w:fldCharType="begin"/>
            </w:r>
            <w:r>
              <w:rPr>
                <w:webHidden/>
              </w:rPr>
              <w:instrText xml:space="preserve">PAGEREF _Toc43469238 \h</w:instrText>
            </w:r>
            <w:r>
              <w:rPr>
                <w:webHidden/>
              </w:rPr>
              <w:fldChar w:fldCharType="separate"/>
            </w:r>
            <w:r>
              <w:rPr>
                <w:rStyle w:val="Style13"/>
                <w:vanish w:val="false"/>
              </w:rPr>
              <w:t>15</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39">
            <w:r>
              <w:rPr>
                <w:webHidden/>
                <w:rStyle w:val="Style13"/>
                <w:vanish w:val="false"/>
              </w:rPr>
              <w:t>5.5</w:t>
            </w:r>
            <w:r>
              <w:rPr>
                <w:rStyle w:val="Style13"/>
                <w:rFonts w:eastAsia="ＭＳ 明朝" w:cs="Arial" w:ascii="Calibri" w:hAnsi="Calibri" w:asciiTheme="minorHAnsi" w:cstheme="minorBidi" w:eastAsiaTheme="minorEastAsia" w:hAnsiTheme="minorHAnsi"/>
                <w:b w:val="false"/>
                <w:sz w:val="22"/>
                <w:szCs w:val="22"/>
              </w:rPr>
              <w:tab/>
            </w:r>
            <w:r>
              <w:rPr>
                <w:rStyle w:val="Style13"/>
              </w:rPr>
              <w:t>Подготовка заявок</w:t>
            </w:r>
            <w:r>
              <w:rPr>
                <w:webHidden/>
              </w:rPr>
              <w:fldChar w:fldCharType="begin"/>
            </w:r>
            <w:r>
              <w:rPr>
                <w:webHidden/>
              </w:rPr>
              <w:instrText xml:space="preserve">PAGEREF _Toc43469239 \h</w:instrText>
            </w:r>
            <w:r>
              <w:rPr>
                <w:webHidden/>
              </w:rPr>
              <w:fldChar w:fldCharType="separate"/>
            </w:r>
            <w:r>
              <w:rPr>
                <w:rStyle w:val="Style13"/>
                <w:vanish w:val="false"/>
              </w:rPr>
              <w:t>15</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43469240">
            <w:r>
              <w:rPr>
                <w:webHidden/>
                <w:rStyle w:val="Style13"/>
                <w:vanish w:val="false"/>
              </w:rPr>
              <w:t>5.5.1</w:t>
            </w:r>
            <w:r>
              <w:rPr>
                <w:rStyle w:val="Style13"/>
                <w:rFonts w:eastAsia="ＭＳ 明朝" w:cs="Arial" w:ascii="Calibri" w:hAnsi="Calibri" w:asciiTheme="minorHAnsi" w:cstheme="minorBidi" w:eastAsiaTheme="minorEastAsia" w:hAnsiTheme="minorHAnsi"/>
                <w:iCs w:val="false"/>
                <w:sz w:val="22"/>
                <w:szCs w:val="22"/>
              </w:rPr>
              <w:tab/>
            </w:r>
            <w:r>
              <w:rPr>
                <w:rStyle w:val="Style13"/>
              </w:rPr>
              <w:t>Общие требования к заявке</w:t>
            </w:r>
            <w:r>
              <w:rPr>
                <w:webHidden/>
              </w:rPr>
              <w:fldChar w:fldCharType="begin"/>
            </w:r>
            <w:r>
              <w:rPr>
                <w:webHidden/>
              </w:rPr>
              <w:instrText xml:space="preserve">PAGEREF _Toc43469240 \h</w:instrText>
            </w:r>
            <w:r>
              <w:rPr>
                <w:webHidden/>
              </w:rPr>
              <w:fldChar w:fldCharType="separate"/>
            </w:r>
            <w:r>
              <w:rPr>
                <w:rStyle w:val="Style13"/>
                <w:vanish w:val="false"/>
              </w:rPr>
              <w:t>15</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43469241">
            <w:r>
              <w:rPr>
                <w:webHidden/>
                <w:rStyle w:val="Style13"/>
                <w:vanish w:val="false"/>
              </w:rPr>
              <w:t>5.5.2</w:t>
            </w:r>
            <w:r>
              <w:rPr>
                <w:rStyle w:val="Style13"/>
                <w:rFonts w:eastAsia="ＭＳ 明朝" w:cs="Arial" w:ascii="Calibri" w:hAnsi="Calibri" w:asciiTheme="minorHAnsi" w:cstheme="minorBidi" w:eastAsiaTheme="minorEastAsia" w:hAnsiTheme="minorHAnsi"/>
                <w:iCs w:val="false"/>
                <w:sz w:val="22"/>
                <w:szCs w:val="22"/>
              </w:rPr>
              <w:tab/>
            </w:r>
            <w:r>
              <w:rPr>
                <w:rStyle w:val="Style13"/>
              </w:rPr>
              <w:t>Требования к сроку действия заявки</w:t>
            </w:r>
            <w:r>
              <w:rPr>
                <w:webHidden/>
              </w:rPr>
              <w:fldChar w:fldCharType="begin"/>
            </w:r>
            <w:r>
              <w:rPr>
                <w:webHidden/>
              </w:rPr>
              <w:instrText xml:space="preserve">PAGEREF _Toc43469241 \h</w:instrText>
            </w:r>
            <w:r>
              <w:rPr>
                <w:webHidden/>
              </w:rPr>
              <w:fldChar w:fldCharType="separate"/>
            </w:r>
            <w:r>
              <w:rPr>
                <w:rStyle w:val="Style13"/>
                <w:vanish w:val="false"/>
              </w:rPr>
              <w:t>16</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43469242">
            <w:r>
              <w:rPr>
                <w:webHidden/>
                <w:rStyle w:val="Style13"/>
                <w:vanish w:val="false"/>
              </w:rPr>
              <w:t>5.5.3</w:t>
            </w:r>
            <w:r>
              <w:rPr>
                <w:rStyle w:val="Style13"/>
                <w:rFonts w:eastAsia="ＭＳ 明朝" w:cs="Arial" w:ascii="Calibri" w:hAnsi="Calibri" w:asciiTheme="minorHAnsi" w:cstheme="minorBidi" w:eastAsiaTheme="minorEastAsia" w:hAnsiTheme="minorHAnsi"/>
                <w:iCs w:val="false"/>
                <w:sz w:val="22"/>
                <w:szCs w:val="22"/>
              </w:rPr>
              <w:tab/>
            </w:r>
            <w:r>
              <w:rPr>
                <w:rStyle w:val="Style13"/>
              </w:rPr>
              <w:t>Требования к языку заявки</w:t>
            </w:r>
            <w:r>
              <w:rPr>
                <w:webHidden/>
              </w:rPr>
              <w:fldChar w:fldCharType="begin"/>
            </w:r>
            <w:r>
              <w:rPr>
                <w:webHidden/>
              </w:rPr>
              <w:instrText xml:space="preserve">PAGEREF _Toc43469242 \h</w:instrText>
            </w:r>
            <w:r>
              <w:rPr>
                <w:webHidden/>
              </w:rPr>
              <w:fldChar w:fldCharType="separate"/>
            </w:r>
            <w:r>
              <w:rPr>
                <w:rStyle w:val="Style13"/>
                <w:vanish w:val="false"/>
              </w:rPr>
              <w:t>16</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43469243">
            <w:r>
              <w:rPr>
                <w:webHidden/>
                <w:rStyle w:val="Style13"/>
                <w:vanish w:val="false"/>
              </w:rPr>
              <w:t>5.5.4</w:t>
            </w:r>
            <w:r>
              <w:rPr>
                <w:rStyle w:val="Style13"/>
                <w:rFonts w:eastAsia="ＭＳ 明朝" w:cs="Arial" w:ascii="Calibri" w:hAnsi="Calibri" w:asciiTheme="minorHAnsi" w:cstheme="minorBidi" w:eastAsiaTheme="minorEastAsia" w:hAnsiTheme="minorHAnsi"/>
                <w:iCs w:val="false"/>
                <w:sz w:val="22"/>
                <w:szCs w:val="22"/>
              </w:rPr>
              <w:tab/>
            </w:r>
            <w:r>
              <w:rPr>
                <w:rStyle w:val="Style13"/>
              </w:rPr>
              <w:t>Требования к валюте предложения</w:t>
            </w:r>
            <w:r>
              <w:rPr>
                <w:webHidden/>
              </w:rPr>
              <w:fldChar w:fldCharType="begin"/>
            </w:r>
            <w:r>
              <w:rPr>
                <w:webHidden/>
              </w:rPr>
              <w:instrText xml:space="preserve">PAGEREF _Toc43469243 \h</w:instrText>
            </w:r>
            <w:r>
              <w:rPr>
                <w:webHidden/>
              </w:rPr>
              <w:fldChar w:fldCharType="separate"/>
            </w:r>
            <w:r>
              <w:rPr>
                <w:rStyle w:val="Style13"/>
                <w:vanish w:val="false"/>
              </w:rPr>
              <w:t>17</w:t>
            </w:r>
            <w:r>
              <w:rPr>
                <w:webHidden/>
              </w:rPr>
              <w:fldChar w:fldCharType="end"/>
            </w:r>
          </w:hyperlink>
        </w:p>
        <w:p>
          <w:pPr>
            <w:pStyle w:val="TOC3"/>
            <w:rPr>
              <w:rFonts w:ascii="Calibri" w:hAnsi="Calibri" w:eastAsia="ＭＳ 明朝" w:cs="Arial" w:asciiTheme="minorHAnsi" w:cstheme="minorBidi" w:eastAsiaTheme="minorEastAsia" w:hAnsiTheme="minorHAnsi"/>
              <w:iCs w:val="false"/>
              <w:sz w:val="22"/>
              <w:szCs w:val="22"/>
            </w:rPr>
          </w:pPr>
          <w:hyperlink w:anchor="_Toc43469244">
            <w:r>
              <w:rPr>
                <w:webHidden/>
                <w:rStyle w:val="Style13"/>
                <w:vanish w:val="false"/>
              </w:rPr>
              <w:t>5.5.5</w:t>
            </w:r>
            <w:r>
              <w:rPr>
                <w:rStyle w:val="Style13"/>
                <w:rFonts w:eastAsia="ＭＳ 明朝" w:cs="Arial" w:ascii="Calibri" w:hAnsi="Calibri" w:asciiTheme="minorHAnsi" w:cstheme="minorBidi" w:eastAsiaTheme="minorEastAsia" w:hAnsiTheme="minorHAnsi"/>
                <w:iCs w:val="false"/>
                <w:sz w:val="22"/>
                <w:szCs w:val="22"/>
              </w:rPr>
              <w:tab/>
            </w:r>
            <w:r>
              <w:rPr>
                <w:rStyle w:val="Style13"/>
              </w:rPr>
              <w:t>Информация о задатке</w:t>
            </w:r>
            <w:r>
              <w:rPr>
                <w:webHidden/>
              </w:rPr>
              <w:fldChar w:fldCharType="begin"/>
            </w:r>
            <w:r>
              <w:rPr>
                <w:webHidden/>
              </w:rPr>
              <w:instrText xml:space="preserve">PAGEREF _Toc43469244 \h</w:instrText>
            </w:r>
            <w:r>
              <w:rPr>
                <w:webHidden/>
              </w:rPr>
              <w:fldChar w:fldCharType="separate"/>
            </w:r>
            <w:r>
              <w:rPr>
                <w:rStyle w:val="Style13"/>
                <w:vanish w:val="false"/>
              </w:rPr>
              <w:t>17</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45">
            <w:r>
              <w:rPr>
                <w:webHidden/>
                <w:rStyle w:val="Style13"/>
                <w:vanish w:val="false"/>
              </w:rPr>
              <w:t>5.6</w:t>
            </w:r>
            <w:r>
              <w:rPr>
                <w:rStyle w:val="Style13"/>
                <w:rFonts w:eastAsia="ＭＳ 明朝" w:cs="Arial" w:ascii="Calibri" w:hAnsi="Calibri" w:asciiTheme="minorHAnsi" w:cstheme="minorBidi" w:eastAsiaTheme="minorEastAsia" w:hAnsiTheme="minorHAnsi"/>
                <w:b w:val="false"/>
                <w:sz w:val="22"/>
                <w:szCs w:val="22"/>
              </w:rPr>
              <w:tab/>
            </w:r>
            <w:r>
              <w:rPr>
                <w:rStyle w:val="Style13"/>
              </w:rPr>
              <w:t>Подача заявок и их прием</w:t>
            </w:r>
            <w:r>
              <w:rPr>
                <w:webHidden/>
              </w:rPr>
              <w:fldChar w:fldCharType="begin"/>
            </w:r>
            <w:r>
              <w:rPr>
                <w:webHidden/>
              </w:rPr>
              <w:instrText xml:space="preserve">PAGEREF _Toc43469245 \h</w:instrText>
            </w:r>
            <w:r>
              <w:rPr>
                <w:webHidden/>
              </w:rPr>
              <w:fldChar w:fldCharType="separate"/>
            </w:r>
            <w:r>
              <w:rPr>
                <w:rStyle w:val="Style13"/>
                <w:vanish w:val="false"/>
              </w:rPr>
              <w:t>17</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46">
            <w:r>
              <w:rPr>
                <w:webHidden/>
                <w:rStyle w:val="Style13"/>
                <w:vanish w:val="false"/>
              </w:rPr>
              <w:t>5.7</w:t>
            </w:r>
            <w:r>
              <w:rPr>
                <w:rStyle w:val="Style13"/>
                <w:rFonts w:eastAsia="ＭＳ 明朝" w:cs="Arial" w:ascii="Calibri" w:hAnsi="Calibri" w:asciiTheme="minorHAnsi" w:cstheme="minorBidi" w:eastAsiaTheme="minorEastAsia" w:hAnsiTheme="minorHAnsi"/>
                <w:b w:val="false"/>
                <w:sz w:val="22"/>
                <w:szCs w:val="22"/>
              </w:rPr>
              <w:tab/>
            </w:r>
            <w:r>
              <w:rPr>
                <w:rStyle w:val="Style13"/>
              </w:rPr>
              <w:t>Изменение и отзыв заявок</w:t>
            </w:r>
            <w:r>
              <w:rPr>
                <w:webHidden/>
              </w:rPr>
              <w:fldChar w:fldCharType="begin"/>
            </w:r>
            <w:r>
              <w:rPr>
                <w:webHidden/>
              </w:rPr>
              <w:instrText xml:space="preserve">PAGEREF _Toc43469246 \h</w:instrText>
            </w:r>
            <w:r>
              <w:rPr>
                <w:webHidden/>
              </w:rPr>
              <w:fldChar w:fldCharType="separate"/>
            </w:r>
            <w:r>
              <w:rPr>
                <w:rStyle w:val="Style13"/>
                <w:vanish w:val="false"/>
              </w:rPr>
              <w:t>17</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47">
            <w:r>
              <w:rPr>
                <w:webHidden/>
                <w:rStyle w:val="Style13"/>
                <w:vanish w:val="false"/>
              </w:rPr>
              <w:t>5.8</w:t>
            </w:r>
            <w:r>
              <w:rPr>
                <w:rStyle w:val="Style13"/>
                <w:rFonts w:eastAsia="ＭＳ 明朝" w:cs="Arial" w:ascii="Calibri" w:hAnsi="Calibri" w:asciiTheme="minorHAnsi" w:cstheme="minorBidi" w:eastAsiaTheme="minorEastAsia" w:hAnsiTheme="minorHAnsi"/>
                <w:b w:val="false"/>
                <w:sz w:val="22"/>
                <w:szCs w:val="22"/>
              </w:rPr>
              <w:tab/>
            </w:r>
            <w:r>
              <w:rPr>
                <w:rStyle w:val="Style13"/>
              </w:rPr>
              <w:t>Открытие доступа к заявкам</w:t>
            </w:r>
            <w:r>
              <w:rPr>
                <w:webHidden/>
              </w:rPr>
              <w:fldChar w:fldCharType="begin"/>
            </w:r>
            <w:r>
              <w:rPr>
                <w:webHidden/>
              </w:rPr>
              <w:instrText xml:space="preserve">PAGEREF _Toc43469247 \h</w:instrText>
            </w:r>
            <w:r>
              <w:rPr>
                <w:webHidden/>
              </w:rPr>
              <w:fldChar w:fldCharType="separate"/>
            </w:r>
            <w:r>
              <w:rPr>
                <w:rStyle w:val="Style13"/>
                <w:vanish w:val="false"/>
              </w:rPr>
              <w:t>18</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48">
            <w:r>
              <w:rPr>
                <w:webHidden/>
                <w:rStyle w:val="Style13"/>
                <w:vanish w:val="false"/>
              </w:rPr>
              <w:t>5.9</w:t>
            </w:r>
            <w:r>
              <w:rPr>
                <w:rStyle w:val="Style13"/>
                <w:rFonts w:eastAsia="ＭＳ 明朝" w:cs="Arial" w:ascii="Calibri" w:hAnsi="Calibri" w:asciiTheme="minorHAnsi" w:cstheme="minorBidi" w:eastAsiaTheme="minorEastAsia" w:hAnsiTheme="minorHAnsi"/>
                <w:b w:val="false"/>
                <w:sz w:val="22"/>
                <w:szCs w:val="22"/>
              </w:rPr>
              <w:tab/>
            </w:r>
            <w:r>
              <w:rPr>
                <w:rStyle w:val="Style13"/>
              </w:rPr>
              <w:t>Рассмотрение заявок</w:t>
            </w:r>
            <w:r>
              <w:rPr>
                <w:webHidden/>
              </w:rPr>
              <w:fldChar w:fldCharType="begin"/>
            </w:r>
            <w:r>
              <w:rPr>
                <w:webHidden/>
              </w:rPr>
              <w:instrText xml:space="preserve">PAGEREF _Toc43469248 \h</w:instrText>
            </w:r>
            <w:r>
              <w:rPr>
                <w:webHidden/>
              </w:rPr>
              <w:fldChar w:fldCharType="separate"/>
            </w:r>
            <w:r>
              <w:rPr>
                <w:rStyle w:val="Style13"/>
                <w:vanish w:val="false"/>
              </w:rPr>
              <w:t>18</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49">
            <w:r>
              <w:rPr>
                <w:webHidden/>
                <w:rStyle w:val="Style13"/>
                <w:vanish w:val="false"/>
              </w:rPr>
              <w:t>5.10</w:t>
            </w:r>
            <w:r>
              <w:rPr>
                <w:rStyle w:val="Style13"/>
                <w:rFonts w:eastAsia="ＭＳ 明朝" w:cs="Arial" w:ascii="Calibri" w:hAnsi="Calibri" w:asciiTheme="minorHAnsi" w:cstheme="minorBidi" w:eastAsiaTheme="minorEastAsia" w:hAnsiTheme="minorHAnsi"/>
                <w:b w:val="false"/>
                <w:sz w:val="22"/>
                <w:szCs w:val="22"/>
              </w:rPr>
              <w:tab/>
            </w:r>
            <w:r>
              <w:rPr>
                <w:rStyle w:val="Style13"/>
              </w:rPr>
              <w:t>Проведение аукциона</w:t>
            </w:r>
            <w:r>
              <w:rPr>
                <w:webHidden/>
              </w:rPr>
              <w:fldChar w:fldCharType="begin"/>
            </w:r>
            <w:r>
              <w:rPr>
                <w:webHidden/>
              </w:rPr>
              <w:instrText xml:space="preserve">PAGEREF _Toc43469249 \h</w:instrText>
            </w:r>
            <w:r>
              <w:rPr>
                <w:webHidden/>
              </w:rPr>
              <w:fldChar w:fldCharType="separate"/>
            </w:r>
            <w:r>
              <w:rPr>
                <w:rStyle w:val="Style13"/>
                <w:vanish w:val="false"/>
              </w:rPr>
              <w:t>19</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50">
            <w:r>
              <w:rPr>
                <w:webHidden/>
                <w:rStyle w:val="Style13"/>
                <w:vanish w:val="false"/>
              </w:rPr>
              <w:t>5.11</w:t>
            </w:r>
            <w:r>
              <w:rPr>
                <w:rStyle w:val="Style13"/>
                <w:rFonts w:eastAsia="ＭＳ 明朝" w:cs="Arial" w:ascii="Calibri" w:hAnsi="Calibri" w:asciiTheme="minorHAnsi" w:cstheme="minorBidi" w:eastAsiaTheme="minorEastAsia" w:hAnsiTheme="minorHAnsi"/>
                <w:b w:val="false"/>
                <w:sz w:val="22"/>
                <w:szCs w:val="22"/>
              </w:rPr>
              <w:tab/>
            </w:r>
            <w:r>
              <w:rPr>
                <w:rStyle w:val="Style13"/>
              </w:rPr>
              <w:t>Оформление результатов аукциона</w:t>
            </w:r>
            <w:r>
              <w:rPr>
                <w:webHidden/>
              </w:rPr>
              <w:fldChar w:fldCharType="begin"/>
            </w:r>
            <w:r>
              <w:rPr>
                <w:webHidden/>
              </w:rPr>
              <w:instrText xml:space="preserve">PAGEREF _Toc43469250 \h</w:instrText>
            </w:r>
            <w:r>
              <w:rPr>
                <w:webHidden/>
              </w:rPr>
              <w:fldChar w:fldCharType="separate"/>
            </w:r>
            <w:r>
              <w:rPr>
                <w:rStyle w:val="Style13"/>
                <w:vanish w:val="false"/>
              </w:rPr>
              <w:t>20</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51">
            <w:r>
              <w:rPr>
                <w:webHidden/>
                <w:rStyle w:val="Style13"/>
                <w:vanish w:val="false"/>
              </w:rPr>
              <w:t>5.12</w:t>
            </w:r>
            <w:r>
              <w:rPr>
                <w:rStyle w:val="Style13"/>
                <w:rFonts w:eastAsia="ＭＳ 明朝" w:cs="Arial" w:ascii="Calibri" w:hAnsi="Calibri" w:asciiTheme="minorHAnsi" w:cstheme="minorBidi" w:eastAsiaTheme="minorEastAsia" w:hAnsiTheme="minorHAnsi"/>
                <w:b w:val="false"/>
                <w:sz w:val="22"/>
                <w:szCs w:val="22"/>
              </w:rPr>
              <w:tab/>
            </w:r>
            <w:r>
              <w:rPr>
                <w:rStyle w:val="Style13"/>
              </w:rPr>
              <w:t>Признание аукциона несостоявшимся</w:t>
            </w:r>
            <w:r>
              <w:rPr>
                <w:webHidden/>
              </w:rPr>
              <w:fldChar w:fldCharType="begin"/>
            </w:r>
            <w:r>
              <w:rPr>
                <w:webHidden/>
              </w:rPr>
              <w:instrText xml:space="preserve">PAGEREF _Toc43469251 \h</w:instrText>
            </w:r>
            <w:r>
              <w:rPr>
                <w:webHidden/>
              </w:rPr>
              <w:fldChar w:fldCharType="separate"/>
            </w:r>
            <w:r>
              <w:rPr>
                <w:rStyle w:val="Style13"/>
                <w:vanish w:val="false"/>
              </w:rPr>
              <w:t>21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52">
            <w:r>
              <w:rPr>
                <w:webHidden/>
                <w:rStyle w:val="Style13"/>
                <w:vanish w:val="false"/>
              </w:rPr>
              <w:t>5.13</w:t>
            </w:r>
            <w:r>
              <w:rPr>
                <w:rStyle w:val="Style13"/>
                <w:rFonts w:eastAsia="ＭＳ 明朝" w:cs="Arial" w:ascii="Calibri" w:hAnsi="Calibri" w:asciiTheme="minorHAnsi" w:cstheme="minorBidi" w:eastAsiaTheme="minorEastAsia" w:hAnsiTheme="minorHAnsi"/>
                <w:b w:val="false"/>
                <w:sz w:val="22"/>
                <w:szCs w:val="22"/>
              </w:rPr>
              <w:tab/>
            </w:r>
            <w:r>
              <w:rPr>
                <w:rStyle w:val="Style13"/>
              </w:rPr>
              <w:t>Отказ от проведения (отмена) аукциона</w:t>
            </w:r>
            <w:r>
              <w:rPr>
                <w:webHidden/>
              </w:rPr>
              <w:fldChar w:fldCharType="begin"/>
            </w:r>
            <w:r>
              <w:rPr>
                <w:webHidden/>
              </w:rPr>
              <w:instrText xml:space="preserve">PAGEREF _Toc43469252 \h</w:instrText>
            </w:r>
            <w:r>
              <w:rPr>
                <w:webHidden/>
              </w:rPr>
              <w:fldChar w:fldCharType="separate"/>
            </w:r>
            <w:r>
              <w:rPr>
                <w:rStyle w:val="Style13"/>
                <w:vanish w:val="false"/>
              </w:rPr>
              <w:t>21</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53">
            <w:r>
              <w:rPr>
                <w:webHidden/>
                <w:rStyle w:val="Style13"/>
                <w:vanish w:val="false"/>
              </w:rPr>
              <w:t>6.</w:t>
            </w:r>
            <w:r>
              <w:rPr>
                <w:rStyle w:val="Style13"/>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3"/>
              </w:rPr>
              <w:t>ПОРЯДОК ЗАКЛЮЧЕНИЯ ДОГОВОРА</w:t>
            </w:r>
            <w:r>
              <w:rPr>
                <w:webHidden/>
              </w:rPr>
              <w:fldChar w:fldCharType="begin"/>
            </w:r>
            <w:r>
              <w:rPr>
                <w:webHidden/>
              </w:rPr>
              <w:instrText xml:space="preserve">PAGEREF _Toc43469253 \h</w:instrText>
            </w:r>
            <w:r>
              <w:rPr>
                <w:webHidden/>
              </w:rPr>
              <w:fldChar w:fldCharType="separate"/>
            </w:r>
            <w:r>
              <w:rPr>
                <w:rStyle w:val="Style13"/>
                <w:vanish w:val="false"/>
              </w:rPr>
              <w:t>21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54">
            <w:r>
              <w:rPr>
                <w:webHidden/>
                <w:rStyle w:val="Style13"/>
                <w:vanish w:val="false"/>
              </w:rPr>
              <w:t>6.1</w:t>
            </w:r>
            <w:r>
              <w:rPr>
                <w:rStyle w:val="Style13"/>
                <w:rFonts w:eastAsia="ＭＳ 明朝" w:cs="Arial" w:ascii="Calibri" w:hAnsi="Calibri" w:asciiTheme="minorHAnsi" w:cstheme="minorBidi" w:eastAsiaTheme="minorEastAsia" w:hAnsiTheme="minorHAnsi"/>
                <w:b w:val="false"/>
                <w:sz w:val="22"/>
                <w:szCs w:val="22"/>
              </w:rPr>
              <w:tab/>
            </w:r>
            <w:r>
              <w:rPr>
                <w:rStyle w:val="Style13"/>
              </w:rPr>
              <w:t>Заключение договора</w:t>
            </w:r>
            <w:r>
              <w:rPr>
                <w:webHidden/>
              </w:rPr>
              <w:fldChar w:fldCharType="begin"/>
            </w:r>
            <w:r>
              <w:rPr>
                <w:webHidden/>
              </w:rPr>
              <w:instrText xml:space="preserve">PAGEREF _Toc43469254 \h</w:instrText>
            </w:r>
            <w:r>
              <w:rPr>
                <w:webHidden/>
              </w:rPr>
              <w:fldChar w:fldCharType="separate"/>
            </w:r>
            <w:r>
              <w:rPr>
                <w:rStyle w:val="Style13"/>
                <w:vanish w:val="false"/>
              </w:rPr>
              <w:t>21</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55">
            <w:r>
              <w:rPr>
                <w:webHidden/>
                <w:rStyle w:val="Style13"/>
                <w:vanish w:val="false"/>
              </w:rPr>
              <w:t>6.2</w:t>
            </w:r>
            <w:r>
              <w:rPr>
                <w:rStyle w:val="Style13"/>
                <w:rFonts w:eastAsia="ＭＳ 明朝" w:cs="Arial" w:ascii="Calibri" w:hAnsi="Calibri" w:asciiTheme="minorHAnsi" w:cstheme="minorBidi" w:eastAsiaTheme="minorEastAsia" w:hAnsiTheme="minorHAnsi"/>
                <w:b w:val="false"/>
                <w:sz w:val="22"/>
                <w:szCs w:val="22"/>
              </w:rPr>
              <w:tab/>
            </w:r>
            <w:r>
              <w:rPr>
                <w:rStyle w:val="Style13"/>
              </w:rPr>
              <w:t>Уклонение Победителя от заключения Договора</w:t>
            </w:r>
            <w:r>
              <w:rPr>
                <w:webHidden/>
              </w:rPr>
              <w:fldChar w:fldCharType="begin"/>
            </w:r>
            <w:r>
              <w:rPr>
                <w:webHidden/>
              </w:rPr>
              <w:instrText xml:space="preserve">PAGEREF _Toc43469255 \h</w:instrText>
            </w:r>
            <w:r>
              <w:rPr>
                <w:webHidden/>
              </w:rPr>
              <w:fldChar w:fldCharType="separate"/>
            </w:r>
            <w:r>
              <w:rPr>
                <w:rStyle w:val="Style13"/>
                <w:vanish w:val="false"/>
              </w:rPr>
              <w:t>22</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56">
            <w:r>
              <w:rPr>
                <w:webHidden/>
                <w:rStyle w:val="Style13"/>
                <w:vanish w:val="false"/>
              </w:rPr>
              <w:t>7.</w:t>
            </w:r>
            <w:r>
              <w:rPr>
                <w:rStyle w:val="Style13"/>
                <w:rFonts w:eastAsia="ＭＳ 明朝" w:cs="Arial" w:ascii="Calibri" w:hAnsi="Calibri" w:asciiTheme="minorHAnsi" w:cstheme="minorBidi" w:eastAsiaTheme="minorEastAsia" w:hAnsiTheme="minorHAnsi"/>
                <w:b w:val="false"/>
                <w:bCs w:val="false"/>
                <w:caps w:val="false"/>
                <w:smallCaps w:val="false"/>
                <w:sz w:val="22"/>
                <w:szCs w:val="22"/>
              </w:rPr>
              <w:tab/>
            </w:r>
            <w:r>
              <w:rPr>
                <w:rStyle w:val="Style13"/>
              </w:rPr>
              <w:t>ОБРАЗЦЫ ОСНОВНЫХ ФОРМ ДОКУМЕНТОВ, ВКЛЮЧАЕМЫХ В ЗАЯВКУ</w:t>
            </w:r>
            <w:r>
              <w:rPr>
                <w:webHidden/>
              </w:rPr>
              <w:fldChar w:fldCharType="begin"/>
            </w:r>
            <w:r>
              <w:rPr>
                <w:webHidden/>
              </w:rPr>
              <w:instrText xml:space="preserve">PAGEREF _Toc43469256 \h</w:instrText>
            </w:r>
            <w:r>
              <w:rPr>
                <w:webHidden/>
              </w:rPr>
              <w:fldChar w:fldCharType="separate"/>
            </w:r>
            <w:r>
              <w:rPr>
                <w:rStyle w:val="Style13"/>
                <w:vanish w:val="false"/>
              </w:rPr>
              <w:t>25</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57">
            <w:r>
              <w:rPr>
                <w:webHidden/>
                <w:rStyle w:val="Style13"/>
                <w:vanish w:val="false"/>
              </w:rPr>
              <w:t>7.1</w:t>
            </w:r>
            <w:r>
              <w:rPr>
                <w:rStyle w:val="Style13"/>
                <w:rFonts w:eastAsia="ＭＳ 明朝" w:cs="Arial" w:ascii="Calibri" w:hAnsi="Calibri" w:asciiTheme="minorHAnsi" w:cstheme="minorBidi" w:eastAsiaTheme="minorEastAsia" w:hAnsiTheme="minorHAnsi"/>
                <w:b w:val="false"/>
                <w:sz w:val="22"/>
                <w:szCs w:val="22"/>
              </w:rPr>
              <w:tab/>
            </w:r>
            <w:r>
              <w:rPr>
                <w:rStyle w:val="Style13"/>
              </w:rPr>
              <w:t>Опись документов (форма 1)</w:t>
            </w:r>
            <w:r>
              <w:rPr>
                <w:webHidden/>
              </w:rPr>
              <w:fldChar w:fldCharType="begin"/>
            </w:r>
            <w:r>
              <w:rPr>
                <w:webHidden/>
              </w:rPr>
              <w:instrText xml:space="preserve">PAGEREF _Toc43469257 \h</w:instrText>
            </w:r>
            <w:r>
              <w:rPr>
                <w:webHidden/>
              </w:rPr>
              <w:fldChar w:fldCharType="separate"/>
            </w:r>
            <w:r>
              <w:rPr>
                <w:rStyle w:val="Style13"/>
                <w:vanish w:val="false"/>
              </w:rPr>
              <w:t>25</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58">
            <w:r>
              <w:rPr>
                <w:webHidden/>
                <w:rStyle w:val="Style13"/>
                <w:vanish w:val="false"/>
              </w:rPr>
              <w:t>7.2</w:t>
            </w:r>
            <w:r>
              <w:rPr>
                <w:rStyle w:val="Style13"/>
                <w:rFonts w:eastAsia="ＭＳ 明朝" w:cs="Arial" w:ascii="Calibri" w:hAnsi="Calibri" w:asciiTheme="minorHAnsi" w:cstheme="minorBidi" w:eastAsiaTheme="minorEastAsia" w:hAnsiTheme="minorHAnsi"/>
                <w:b w:val="false"/>
                <w:sz w:val="22"/>
                <w:szCs w:val="22"/>
              </w:rPr>
              <w:tab/>
            </w:r>
            <w:r>
              <w:rPr>
                <w:rStyle w:val="Style13"/>
              </w:rPr>
              <w:t>Заявка на участие в аукционе (форма 2)</w:t>
            </w:r>
            <w:r>
              <w:rPr>
                <w:webHidden/>
              </w:rPr>
              <w:fldChar w:fldCharType="begin"/>
            </w:r>
            <w:r>
              <w:rPr>
                <w:webHidden/>
              </w:rPr>
              <w:instrText xml:space="preserve">PAGEREF _Toc43469258 \h</w:instrText>
            </w:r>
            <w:r>
              <w:rPr>
                <w:webHidden/>
              </w:rPr>
              <w:fldChar w:fldCharType="separate"/>
            </w:r>
            <w:r>
              <w:rPr>
                <w:rStyle w:val="Style13"/>
                <w:vanish w:val="false"/>
              </w:rPr>
              <w:t>27</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59">
            <w:r>
              <w:rPr>
                <w:webHidden/>
              </w:rPr>
              <w:fldChar w:fldCharType="begin"/>
            </w:r>
            <w:r>
              <w:rPr>
                <w:webHidden/>
              </w:rPr>
              <w:instrText xml:space="preserve">PAGEREF _Toc43469259 \h</w:instrText>
            </w:r>
            <w:r>
              <w:rPr>
                <w:webHidden/>
              </w:rPr>
              <w:fldChar w:fldCharType="separate"/>
            </w:r>
            <w:r>
              <w:rPr>
                <w:webHidden/>
                <w:rStyle w:val="Style13"/>
                <w:vanish w:val="false"/>
              </w:rPr>
              <w:t>Извещение о проведении аукциона на повышение  по продаже имущества ПАО «РусГидро»32</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60">
            <w:r>
              <w:rPr>
                <w:webHidden/>
              </w:rPr>
              <w:fldChar w:fldCharType="begin"/>
            </w:r>
            <w:r>
              <w:rPr>
                <w:webHidden/>
              </w:rPr>
              <w:instrText xml:space="preserve">PAGEREF _Toc43469260 \h</w:instrText>
            </w:r>
            <w:r>
              <w:rPr>
                <w:webHidden/>
              </w:rPr>
              <w:fldChar w:fldCharType="separate"/>
            </w:r>
            <w:r>
              <w:rPr>
                <w:webHidden/>
                <w:rStyle w:val="Style13"/>
                <w:vanish w:val="false"/>
              </w:rPr>
              <w:t>Приложение № 135</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61">
            <w:r>
              <w:rPr>
                <w:webHidden/>
              </w:rPr>
              <w:fldChar w:fldCharType="begin"/>
            </w:r>
            <w:r>
              <w:rPr>
                <w:webHidden/>
              </w:rPr>
              <w:instrText xml:space="preserve">PAGEREF _Toc43469261 \h</w:instrText>
            </w:r>
            <w:r>
              <w:rPr>
                <w:webHidden/>
              </w:rPr>
              <w:fldChar w:fldCharType="separate"/>
            </w:r>
            <w:r>
              <w:rPr>
                <w:webHidden/>
                <w:rStyle w:val="Style13"/>
                <w:vanish w:val="false"/>
              </w:rPr>
              <w:t>Приложение № 236</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62">
            <w:r>
              <w:rPr>
                <w:webHidden/>
              </w:rPr>
              <w:fldChar w:fldCharType="begin"/>
            </w:r>
            <w:r>
              <w:rPr>
                <w:webHidden/>
              </w:rPr>
              <w:instrText xml:space="preserve">PAGEREF _Toc43469262 \h</w:instrText>
            </w:r>
            <w:r>
              <w:rPr>
                <w:webHidden/>
              </w:rPr>
              <w:fldChar w:fldCharType="separate"/>
            </w:r>
            <w:r>
              <w:rPr>
                <w:webHidden/>
                <w:rStyle w:val="Style13"/>
                <w:vanish w:val="false"/>
              </w:rPr>
              <w:t>Приложение № 342</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63">
            <w:r>
              <w:rPr>
                <w:webHidden/>
              </w:rPr>
              <w:fldChar w:fldCharType="begin"/>
            </w:r>
            <w:r>
              <w:rPr>
                <w:webHidden/>
              </w:rPr>
              <w:instrText xml:space="preserve">PAGEREF _Toc43469263 \h</w:instrText>
            </w:r>
            <w:r>
              <w:rPr>
                <w:webHidden/>
              </w:rPr>
              <w:fldChar w:fldCharType="separate"/>
            </w:r>
            <w:r>
              <w:rPr>
                <w:webHidden/>
                <w:rStyle w:val="Style13"/>
                <w:vanish w:val="false"/>
              </w:rPr>
              <w:t>Требования к Участнику аукциона и к документам, подтверждающим соответствие Участника аукциона установленным требованиям42</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64">
            <w:r>
              <w:rPr>
                <w:webHidden/>
              </w:rPr>
              <w:fldChar w:fldCharType="begin"/>
            </w:r>
            <w:r>
              <w:rPr>
                <w:webHidden/>
              </w:rPr>
              <w:instrText xml:space="preserve">PAGEREF _Toc43469264 \h</w:instrText>
            </w:r>
            <w:r>
              <w:rPr>
                <w:webHidden/>
              </w:rPr>
              <w:fldChar w:fldCharType="separate"/>
            </w:r>
            <w:r>
              <w:rPr>
                <w:webHidden/>
                <w:rStyle w:val="Style13"/>
                <w:vanish w:val="false"/>
              </w:rPr>
              <w:t>Приложение № 447</w:t>
            </w:r>
            <w:r>
              <w:rPr>
                <w:webHidden/>
              </w:rPr>
              <w:fldChar w:fldCharType="end"/>
            </w:r>
          </w:hyperlink>
        </w:p>
        <w:p>
          <w:pPr>
            <w:pStyle w:val="TOC2"/>
            <w:rPr>
              <w:rFonts w:ascii="Calibri" w:hAnsi="Calibri" w:eastAsia="ＭＳ 明朝" w:cs="Arial" w:asciiTheme="minorHAnsi" w:cstheme="minorBidi" w:eastAsiaTheme="minorEastAsia" w:hAnsiTheme="minorHAnsi"/>
              <w:b w:val="false"/>
              <w:sz w:val="22"/>
              <w:szCs w:val="22"/>
            </w:rPr>
          </w:pPr>
          <w:hyperlink w:anchor="_Toc43469265">
            <w:r>
              <w:rPr>
                <w:webHidden/>
              </w:rPr>
              <w:fldChar w:fldCharType="begin"/>
            </w:r>
            <w:r>
              <w:rPr>
                <w:webHidden/>
              </w:rPr>
              <w:instrText xml:space="preserve">PAGEREF _Toc43469265 \h</w:instrText>
            </w:r>
            <w:r>
              <w:rPr>
                <w:webHidden/>
              </w:rPr>
              <w:fldChar w:fldCharType="separate"/>
            </w:r>
            <w:r>
              <w:rPr>
                <w:webHidden/>
                <w:rStyle w:val="Style13"/>
                <w:vanish w:val="false"/>
              </w:rPr>
              <w:t>Состав заявки на участие в аукционе:47</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66">
            <w:r>
              <w:rPr>
                <w:webHidden/>
              </w:rPr>
              <w:fldChar w:fldCharType="begin"/>
            </w:r>
            <w:r>
              <w:rPr>
                <w:webHidden/>
              </w:rPr>
              <w:instrText xml:space="preserve">PAGEREF _Toc43469266 \h</w:instrText>
            </w:r>
            <w:r>
              <w:rPr>
                <w:webHidden/>
              </w:rPr>
              <w:fldChar w:fldCharType="separate"/>
            </w:r>
            <w:r>
              <w:rPr>
                <w:webHidden/>
                <w:rStyle w:val="Style13"/>
                <w:vanish w:val="false"/>
              </w:rPr>
              <w:t>Приложение № 548</w:t>
            </w:r>
            <w:r>
              <w:rPr>
                <w:webHidden/>
              </w:rPr>
              <w:fldChar w:fldCharType="end"/>
            </w:r>
          </w:hyperlink>
        </w:p>
        <w:p>
          <w:pPr>
            <w:pStyle w:val="TOC1"/>
            <w:rPr>
              <w:rFonts w:ascii="Calibri" w:hAnsi="Calibri" w:eastAsia="ＭＳ 明朝" w:cs="Arial" w:asciiTheme="minorHAnsi" w:cstheme="minorBidi" w:eastAsiaTheme="minorEastAsia" w:hAnsiTheme="minorHAnsi"/>
              <w:b w:val="false"/>
              <w:bCs w:val="false"/>
              <w:caps w:val="false"/>
              <w:smallCaps w:val="false"/>
              <w:sz w:val="22"/>
              <w:szCs w:val="22"/>
            </w:rPr>
          </w:pPr>
          <w:hyperlink w:anchor="_Toc43469267">
            <w:r>
              <w:rPr>
                <w:webHidden/>
              </w:rPr>
              <w:fldChar w:fldCharType="begin"/>
            </w:r>
            <w:r>
              <w:rPr>
                <w:webHidden/>
              </w:rPr>
              <w:instrText xml:space="preserve">PAGEREF _Toc43469267 \h</w:instrText>
            </w:r>
            <w:r>
              <w:rPr>
                <w:webHidden/>
              </w:rPr>
              <w:fldChar w:fldCharType="separate"/>
            </w:r>
            <w:r>
              <w:rPr>
                <w:webHidden/>
                <w:rStyle w:val="Style13"/>
                <w:vanish w:val="false"/>
              </w:rPr>
              <w:t>ОТБОРОЧНЫЕ КРИТЕРИИ РАССМОТРЕНИЯ ЗАЯВОК48</w:t>
            </w:r>
            <w:r>
              <w:rPr>
                <w:webHidden/>
              </w:rPr>
              <w:fldChar w:fldCharType="end"/>
            </w:r>
          </w:hyperlink>
          <w:r>
            <w:rPr>
              <w:rStyle w:val="Style13"/>
              <w:vanish w:val="false"/>
            </w:rPr>
            <w:fldChar w:fldCharType="end"/>
          </w:r>
        </w:p>
      </w:sdtContent>
    </w:sdt>
    <w:p>
      <w:pPr>
        <w:pStyle w:val="Normal"/>
        <w:rPr/>
      </w:pPr>
      <w:r>
        <w:rPr/>
      </w:r>
    </w:p>
    <w:p>
      <w:pPr>
        <w:pStyle w:val="Heading1"/>
        <w:numPr>
          <w:ilvl w:val="0"/>
          <w:numId w:val="0"/>
        </w:numPr>
        <w:ind w:left="0" w:hanging="0"/>
        <w:jc w:val="center"/>
        <w:rPr>
          <w:rFonts w:ascii="Times New Roman" w:hAnsi="Times New Roman"/>
          <w:sz w:val="28"/>
          <w:szCs w:val="28"/>
        </w:rPr>
      </w:pPr>
      <w:bookmarkStart w:id="1" w:name="_Toc55285334"/>
      <w:bookmarkStart w:id="2" w:name="_Toc55305368"/>
      <w:bookmarkStart w:id="3" w:name="_Ref55335495"/>
      <w:bookmarkStart w:id="4" w:name="_Ref56251018"/>
      <w:bookmarkStart w:id="5" w:name="_Ref56251020"/>
      <w:bookmarkStart w:id="6" w:name="_Ref57046967"/>
      <w:bookmarkStart w:id="7" w:name="_Toc57314614"/>
      <w:bookmarkStart w:id="8" w:name="_Ref57322917"/>
      <w:bookmarkStart w:id="9" w:name="_Ref57322919"/>
      <w:bookmarkStart w:id="10" w:name="_Toc69728940"/>
      <w:bookmarkStart w:id="11" w:name="_Ref384119009"/>
      <w:bookmarkStart w:id="12" w:name="_Ref457404873"/>
      <w:bookmarkStart w:id="13" w:name="_Ref514366976"/>
      <w:bookmarkStart w:id="14" w:name="_Toc43469219"/>
      <w:r>
        <w:rPr>
          <w:rFonts w:ascii="Times New Roman" w:hAnsi="Times New Roman"/>
          <w:sz w:val="28"/>
          <w:szCs w:val="28"/>
        </w:rPr>
        <w:t>СОКРАЩЕНИЯ</w:t>
      </w:r>
      <w:bookmarkEnd w:id="13"/>
      <w:bookmarkEnd w:id="14"/>
    </w:p>
    <w:p>
      <w:pPr>
        <w:pStyle w:val="Normal"/>
        <w:tabs>
          <w:tab w:val="clear" w:pos="567"/>
          <w:tab w:val="left" w:pos="2977" w:leader="none"/>
          <w:tab w:val="left" w:pos="3544" w:leader="none"/>
        </w:tabs>
        <w:ind w:firstLine="1134"/>
        <w:jc w:val="center"/>
        <w:rPr>
          <w:b/>
          <w:sz w:val="24"/>
        </w:rPr>
      </w:pPr>
      <w:r>
        <w:rPr>
          <w:b/>
          <w:sz w:val="24"/>
        </w:rPr>
      </w:r>
    </w:p>
    <w:tbl>
      <w:tblPr>
        <w:tblW w:w="9639"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2802"/>
        <w:gridCol w:w="425"/>
        <w:gridCol w:w="6412"/>
      </w:tblGrid>
      <w:tr>
        <w:trPr/>
        <w:tc>
          <w:tcPr>
            <w:tcW w:w="2802" w:type="dxa"/>
            <w:tcBorders/>
          </w:tcPr>
          <w:p>
            <w:pPr>
              <w:pStyle w:val="Normal"/>
              <w:widowControl w:val="false"/>
              <w:tabs>
                <w:tab w:val="clear" w:pos="567"/>
                <w:tab w:val="left" w:pos="2977" w:leader="none"/>
                <w:tab w:val="left" w:pos="3544" w:leader="none"/>
              </w:tabs>
              <w:spacing w:before="120" w:after="0"/>
              <w:rPr>
                <w:b/>
              </w:rPr>
            </w:pPr>
            <w:r>
              <w:rPr>
                <w:b/>
              </w:rPr>
              <w:t>Аукцион</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аукцион на повышение</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ГК РФ</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Законодательство РФ</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действующее законодательство Российской Федерации</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Заявка</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заявка на участие в настоящем аукционе</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Извещение</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извещение о проведении настоящего аукциона</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ИНН</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Комиссия</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 xml:space="preserve">комиссия по проведению аукциона </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НДС</w:t>
            </w:r>
          </w:p>
        </w:tc>
        <w:tc>
          <w:tcPr>
            <w:tcW w:w="425" w:type="dxa"/>
            <w:tcBorders/>
          </w:tcPr>
          <w:p>
            <w:pPr>
              <w:pStyle w:val="Normal"/>
              <w:widowControl w:val="false"/>
              <w:tabs>
                <w:tab w:val="clear" w:pos="567"/>
                <w:tab w:val="left" w:pos="2977" w:leader="none"/>
                <w:tab w:val="left" w:pos="3544" w:leader="none"/>
              </w:tabs>
              <w:spacing w:before="120" w:after="0"/>
              <w:rPr>
                <w:b/>
              </w:rPr>
            </w:pPr>
            <w:r>
              <w:rPr/>
              <w:t>–</w:t>
            </w:r>
          </w:p>
        </w:tc>
        <w:tc>
          <w:tcPr>
            <w:tcW w:w="6412" w:type="dxa"/>
            <w:tcBorders/>
          </w:tcPr>
          <w:p>
            <w:pPr>
              <w:pStyle w:val="Normal"/>
              <w:widowControl w:val="false"/>
              <w:tabs>
                <w:tab w:val="clear" w:pos="567"/>
                <w:tab w:val="left" w:pos="2977" w:leader="none"/>
                <w:tab w:val="left" w:pos="3544" w:leader="none"/>
              </w:tabs>
              <w:spacing w:before="120" w:after="0"/>
              <w:rPr>
                <w:b/>
              </w:rPr>
            </w:pPr>
            <w:r>
              <w:rPr/>
              <w:t>налог на добавленную стоимость</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Организатор</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 xml:space="preserve">Стороны </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организатор, продавец и участники аукциона, являющиеся сторонами данного аукциона (при совместном упоминании)</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Участник</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ЭТП</w:t>
            </w:r>
          </w:p>
        </w:tc>
        <w:tc>
          <w:tcPr>
            <w:tcW w:w="425" w:type="dxa"/>
            <w:tcBorders/>
          </w:tcPr>
          <w:p>
            <w:pPr>
              <w:pStyle w:val="Normal"/>
              <w:widowControl w:val="false"/>
              <w:tabs>
                <w:tab w:val="clear" w:pos="567"/>
                <w:tab w:val="left" w:pos="2977" w:leader="none"/>
                <w:tab w:val="left" w:pos="3544" w:leader="none"/>
              </w:tabs>
              <w:spacing w:before="120" w:after="0"/>
              <w:rPr>
                <w:b/>
              </w:rPr>
            </w:pPr>
            <w:r>
              <w:rPr/>
              <w:t>–</w:t>
            </w:r>
          </w:p>
        </w:tc>
        <w:tc>
          <w:tcPr>
            <w:tcW w:w="6412" w:type="dxa"/>
            <w:tcBorders/>
          </w:tcPr>
          <w:p>
            <w:pPr>
              <w:pStyle w:val="Normal"/>
              <w:widowControl w:val="false"/>
              <w:tabs>
                <w:tab w:val="clear" w:pos="567"/>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567"/>
                <w:tab w:val="left" w:pos="2977" w:leader="none"/>
                <w:tab w:val="left" w:pos="3544" w:leader="none"/>
              </w:tabs>
              <w:spacing w:before="120" w:after="0"/>
              <w:rPr>
                <w:b/>
              </w:rPr>
            </w:pPr>
            <w:r>
              <w:rPr>
                <w:b/>
              </w:rPr>
              <w:t>ЭЦП</w:t>
            </w:r>
          </w:p>
        </w:tc>
        <w:tc>
          <w:tcPr>
            <w:tcW w:w="425" w:type="dxa"/>
            <w:tcBorders/>
          </w:tcPr>
          <w:p>
            <w:pPr>
              <w:pStyle w:val="Normal"/>
              <w:widowControl w:val="false"/>
              <w:tabs>
                <w:tab w:val="clear" w:pos="567"/>
                <w:tab w:val="left" w:pos="2977" w:leader="none"/>
                <w:tab w:val="left" w:pos="3544" w:leader="none"/>
              </w:tabs>
              <w:spacing w:before="120" w:after="0"/>
              <w:rPr/>
            </w:pPr>
            <w:r>
              <w:rPr/>
              <w:t>–</w:t>
            </w:r>
          </w:p>
        </w:tc>
        <w:tc>
          <w:tcPr>
            <w:tcW w:w="6412" w:type="dxa"/>
            <w:tcBorders/>
          </w:tcPr>
          <w:p>
            <w:pPr>
              <w:pStyle w:val="Normal"/>
              <w:widowControl w:val="false"/>
              <w:tabs>
                <w:tab w:val="clear" w:pos="567"/>
                <w:tab w:val="left" w:pos="2977" w:leader="none"/>
                <w:tab w:val="left" w:pos="3544" w:leader="none"/>
              </w:tabs>
              <w:spacing w:before="120" w:after="0"/>
              <w:rPr/>
            </w:pPr>
            <w:r>
              <w:rPr/>
              <w:t>электронная цифровая подпись</w:t>
            </w:r>
          </w:p>
        </w:tc>
      </w:tr>
    </w:tbl>
    <w:p>
      <w:pPr>
        <w:pStyle w:val="Heading1"/>
        <w:numPr>
          <w:ilvl w:val="0"/>
          <w:numId w:val="0"/>
        </w:numPr>
        <w:ind w:left="0" w:hanging="0"/>
        <w:jc w:val="center"/>
        <w:rPr>
          <w:rFonts w:ascii="Times New Roman" w:hAnsi="Times New Roman"/>
          <w:sz w:val="28"/>
          <w:szCs w:val="28"/>
        </w:rPr>
      </w:pPr>
      <w:bookmarkStart w:id="15" w:name="_Toc517136388"/>
      <w:bookmarkStart w:id="16" w:name="_Toc43469220"/>
      <w:bookmarkStart w:id="17" w:name="_Toc500159328"/>
      <w:bookmarkEnd w:id="17"/>
      <w:r>
        <w:rPr>
          <w:rFonts w:ascii="Times New Roman" w:hAnsi="Times New Roman"/>
          <w:sz w:val="28"/>
          <w:szCs w:val="28"/>
        </w:rPr>
        <w:t>ТЕРМИНЫ И ОПРЕДЕЛЕНИЯ</w:t>
      </w:r>
      <w:bookmarkEnd w:id="15"/>
      <w:bookmarkEnd w:id="16"/>
    </w:p>
    <w:p>
      <w:pPr>
        <w:pStyle w:val="Normal"/>
        <w:spacing w:before="120" w:after="120"/>
        <w:rPr>
          <w:color w:val="000000"/>
        </w:rPr>
      </w:pPr>
      <w:r>
        <w:rPr>
          <w:b/>
          <w:color w:val="000000"/>
        </w:rPr>
        <w:t xml:space="preserve">Аукцион на повышение (аукцион) </w:t>
      </w:r>
      <w:r>
        <w:rPr>
          <w:color w:val="000000"/>
        </w:rPr>
        <w:t>– конкурентная форма продажи, при которой главным критерием в состязании между участниками во время аукциона является наибольшая цена.</w:t>
      </w:r>
    </w:p>
    <w:p>
      <w:pPr>
        <w:pStyle w:val="Default"/>
        <w:spacing w:before="120" w:after="120"/>
        <w:jc w:val="both"/>
        <w:rPr>
          <w:sz w:val="26"/>
          <w:szCs w:val="26"/>
        </w:rPr>
      </w:pPr>
      <w:r>
        <w:rPr>
          <w:b/>
          <w:sz w:val="26"/>
          <w:szCs w:val="26"/>
        </w:rPr>
        <w:t xml:space="preserve">Заявитель - </w:t>
      </w:r>
      <w:r>
        <w:rPr>
          <w:sz w:val="26"/>
          <w:szCs w:val="26"/>
        </w:rPr>
        <w:t>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процедурах, объявленных Организатором, и принявшим решение принять участие в настоящем аукционе.</w:t>
      </w:r>
    </w:p>
    <w:p>
      <w:pPr>
        <w:pStyle w:val="Default"/>
        <w:spacing w:before="120" w:after="120"/>
        <w:jc w:val="both"/>
        <w:rPr>
          <w:sz w:val="26"/>
          <w:szCs w:val="26"/>
        </w:rPr>
      </w:pPr>
      <w:r>
        <w:rPr>
          <w:b/>
          <w:sz w:val="26"/>
          <w:szCs w:val="26"/>
        </w:rPr>
        <w:t>Оператор ЭТП</w:t>
      </w:r>
      <w:r>
        <w:rPr>
          <w:b/>
        </w:rPr>
        <w:t xml:space="preserve"> – </w:t>
      </w:r>
      <w:r>
        <w:rPr>
          <w:sz w:val="26"/>
          <w:szCs w:val="26"/>
        </w:rPr>
        <w:t>юридическое лицо, соответствующее требованиям законодательства РФ,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 xml:space="preserve">Организатор продажи – </w:t>
      </w:r>
      <w:r>
        <w:rPr/>
        <w:t>Продавец или лицо, которое на основе договора с Продавцом от его имени и за его счет организует и проводит процедуры продажи.</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п. </w:t>
      </w:r>
      <w:r>
        <w:rPr>
          <w:color w:val="000000"/>
        </w:rPr>
        <w:fldChar w:fldCharType="begin"/>
      </w:r>
      <w:r>
        <w:rPr>
          <w:color w:val="000000"/>
        </w:rPr>
        <w:instrText xml:space="preserve"> REF _Ref249785568 \r \h </w:instrText>
      </w:r>
      <w:r>
        <w:rPr>
          <w:color w:val="000000"/>
        </w:rPr>
        <w:fldChar w:fldCharType="separate"/>
      </w:r>
      <w:r>
        <w:rPr>
          <w:color w:val="000000"/>
        </w:rPr>
        <w:t>1.2.1</w:t>
      </w:r>
      <w:r>
        <w:rPr>
          <w:color w:val="000000"/>
        </w:rPr>
        <w:fldChar w:fldCharType="end"/>
      </w:r>
      <w:r>
        <w:rPr>
          <w:color w:val="000000"/>
        </w:rPr>
        <w:t xml:space="preserve"> Документации о продаже.</w:t>
      </w:r>
    </w:p>
    <w:p>
      <w:pPr>
        <w:pStyle w:val="Normal"/>
        <w:spacing w:before="120" w:after="120"/>
        <w:rPr>
          <w:color w:val="000000"/>
        </w:rPr>
      </w:pPr>
      <w:r>
        <w:rPr>
          <w:b/>
          <w:color w:val="000000"/>
        </w:rPr>
        <w:t>Продавец</w:t>
      </w:r>
      <w:r>
        <w:rPr>
          <w:color w:val="000000"/>
        </w:rPr>
        <w:t xml:space="preserve"> – юридическое лицо, указанное в п. </w:t>
      </w:r>
      <w:r>
        <w:rPr>
          <w:color w:val="000000"/>
        </w:rPr>
        <w:fldChar w:fldCharType="begin"/>
      </w:r>
      <w:r>
        <w:rPr>
          <w:color w:val="000000"/>
        </w:rPr>
        <w:instrText xml:space="preserve"> REF _Ref384115722 \r \h </w:instrText>
      </w:r>
      <w:r>
        <w:rPr>
          <w:color w:val="000000"/>
        </w:rPr>
        <w:fldChar w:fldCharType="separate"/>
      </w:r>
      <w:r>
        <w:rPr>
          <w:color w:val="000000"/>
        </w:rPr>
        <w:t>1.2.5</w:t>
      </w:r>
      <w:r>
        <w:rPr>
          <w:color w:val="000000"/>
        </w:rPr>
        <w:fldChar w:fldCharType="end"/>
      </w:r>
      <w:r>
        <w:rPr>
          <w:color w:val="000000"/>
        </w:rPr>
        <w:t xml:space="preserve"> Документации о продаже.</w:t>
      </w:r>
    </w:p>
    <w:p>
      <w:pPr>
        <w:pStyle w:val="Normal"/>
        <w:spacing w:before="120" w:after="120"/>
        <w:rPr>
          <w:color w:val="000000"/>
        </w:rPr>
      </w:pPr>
      <w:r>
        <w:rPr>
          <w:b/>
          <w:color w:val="000000"/>
        </w:rPr>
        <w:t>Продажа</w:t>
      </w:r>
      <w:r>
        <w:rPr>
          <w:color w:val="000000"/>
        </w:rPr>
        <w:t xml:space="preserve"> – способ реализации непрофильного актива, заключающийся в возмездном отчуждении непрофильного актива в собственность третьих лиц.</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функциональность ЭТП.</w:t>
      </w:r>
    </w:p>
    <w:p>
      <w:pPr>
        <w:pStyle w:val="Normal"/>
        <w:spacing w:before="120" w:after="120"/>
        <w:rPr>
          <w:color w:val="000000"/>
          <w:sz w:val="24"/>
          <w:szCs w:val="24"/>
        </w:rPr>
      </w:pPr>
      <w:r>
        <w:rPr>
          <w:b/>
          <w:color w:val="000000"/>
        </w:rPr>
        <w:t xml:space="preserve">Участник аукциона - </w:t>
      </w:r>
      <w:r>
        <w:rPr>
          <w:color w:val="000000"/>
        </w:rPr>
        <w:t>лицо, чья заявка признана соответствующей требованиям Документации о продаже, и принявшее участие в процедуре аукциона в соответствии с Регламентом ЭТП.</w:t>
      </w:r>
    </w:p>
    <w:p>
      <w:pPr>
        <w:pStyle w:val="Heading1"/>
        <w:numPr>
          <w:ilvl w:val="0"/>
          <w:numId w:val="3"/>
        </w:numPr>
        <w:jc w:val="center"/>
        <w:rPr>
          <w:rFonts w:ascii="Times New Roman" w:hAnsi="Times New Roman"/>
          <w:sz w:val="28"/>
          <w:szCs w:val="28"/>
        </w:rPr>
      </w:pPr>
      <w:bookmarkStart w:id="18" w:name="_Ref513721506"/>
      <w:bookmarkStart w:id="19" w:name="_Toc43469221"/>
      <w:bookmarkStart w:id="20" w:name="_Ref388516845"/>
      <w:bookmarkStart w:id="21" w:name="_Ref388516882"/>
      <w:bookmarkStart w:id="22" w:name="_Toc514445883"/>
      <w:bookmarkStart w:id="23" w:name="_Toc514455530"/>
      <w:bookmarkStart w:id="24" w:name="_Toc514445884"/>
      <w:bookmarkStart w:id="25" w:name="_Toc514455531"/>
      <w:bookmarkStart w:id="26" w:name="_Toc514445885"/>
      <w:bookmarkStart w:id="27" w:name="_Toc514455532"/>
      <w:bookmarkEnd w:id="22"/>
      <w:bookmarkEnd w:id="23"/>
      <w:bookmarkEnd w:id="24"/>
      <w:bookmarkEnd w:id="25"/>
      <w:bookmarkEnd w:id="26"/>
      <w:bookmarkEnd w:id="27"/>
      <w:r>
        <w:rPr>
          <w:rFonts w:ascii="Times New Roman" w:hAnsi="Times New Roman"/>
          <w:sz w:val="28"/>
          <w:szCs w:val="28"/>
        </w:rPr>
        <w:t xml:space="preserve">ОСНОВНЫЕ СВЕДЕНИЯ О </w:t>
      </w:r>
      <w:bookmarkEnd w:id="20"/>
      <w:bookmarkEnd w:id="21"/>
      <w:r>
        <w:rPr>
          <w:rFonts w:ascii="Times New Roman" w:hAnsi="Times New Roman"/>
          <w:sz w:val="28"/>
          <w:szCs w:val="28"/>
        </w:rPr>
        <w:t>ПРОДАЖЕ</w:t>
      </w:r>
      <w:bookmarkEnd w:id="19"/>
    </w:p>
    <w:p>
      <w:pPr>
        <w:pStyle w:val="Heading2"/>
        <w:numPr>
          <w:ilvl w:val="1"/>
          <w:numId w:val="3"/>
        </w:numPr>
        <w:spacing w:before="0" w:after="0"/>
        <w:ind w:left="1134" w:hanging="1134"/>
        <w:rPr>
          <w:sz w:val="26"/>
        </w:rPr>
      </w:pPr>
      <w:bookmarkStart w:id="28" w:name="_Toc43469222"/>
      <w:r>
        <w:rPr>
          <w:sz w:val="26"/>
        </w:rPr>
        <w:t>Статус настоящего раздела</w:t>
      </w:r>
      <w:bookmarkEnd w:id="28"/>
    </w:p>
    <w:p>
      <w:pPr>
        <w:pStyle w:val="Style23"/>
        <w:numPr>
          <w:ilvl w:val="2"/>
          <w:numId w:val="50"/>
        </w:numPr>
        <w:spacing w:before="0" w:after="0"/>
        <w:ind w:left="1134" w:hanging="1134"/>
        <w:rPr/>
      </w:pPr>
      <w:r>
        <w:rPr/>
        <w:t xml:space="preserve">В настоящем разделе содержатся основные сведения о предмете и иных ключевых условиях проводимого аукциона. Более подробная информация об общем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7 Документации о продаже.</w:t>
      </w:r>
    </w:p>
    <w:p>
      <w:pPr>
        <w:pStyle w:val="Heading2"/>
        <w:numPr>
          <w:ilvl w:val="1"/>
          <w:numId w:val="3"/>
        </w:numPr>
        <w:spacing w:before="0" w:after="0"/>
        <w:ind w:left="1134" w:hanging="1134"/>
        <w:rPr>
          <w:sz w:val="26"/>
        </w:rPr>
      </w:pPr>
      <w:bookmarkStart w:id="29" w:name="_Toc43469223"/>
      <w:bookmarkStart w:id="30" w:name="_Toc203081977"/>
      <w:bookmarkStart w:id="31" w:name="_Toc328493354"/>
      <w:bookmarkStart w:id="32" w:name="_Toc334798694"/>
      <w:r>
        <w:rPr>
          <w:sz w:val="26"/>
        </w:rPr>
        <w:t xml:space="preserve">Информация о проводимом </w:t>
      </w:r>
      <w:bookmarkEnd w:id="30"/>
      <w:bookmarkEnd w:id="31"/>
      <w:bookmarkEnd w:id="32"/>
      <w:r>
        <w:rPr>
          <w:sz w:val="26"/>
        </w:rPr>
        <w:t>аукционе</w:t>
      </w:r>
      <w:bookmarkEnd w:id="29"/>
    </w:p>
    <w:tbl>
      <w:tblPr>
        <w:tblW w:w="9526"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1305"/>
        <w:gridCol w:w="2551"/>
        <w:gridCol w:w="5670"/>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3328" w:hanging="3118"/>
              <w:rPr/>
            </w:pPr>
            <w:r>
              <w:rPr/>
            </w:r>
            <w:bookmarkStart w:id="33" w:name="_Ref249785568"/>
            <w:bookmarkStart w:id="34" w:name="_Ref249785568"/>
            <w:bookmarkEnd w:id="34"/>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Предмет Договора</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1134" w:leader="none"/>
              </w:tabs>
              <w:spacing w:before="120" w:after="0"/>
              <w:rPr/>
            </w:pPr>
            <w:r>
              <w:rPr/>
              <w:t>Тепловодосети, расположенные по адресу: Амурская область, г. Зея:</w:t>
            </w:r>
          </w:p>
          <w:p>
            <w:pPr>
              <w:pStyle w:val="Normal"/>
              <w:widowControl w:val="false"/>
              <w:tabs>
                <w:tab w:val="clear" w:pos="567"/>
                <w:tab w:val="left" w:pos="1134" w:leader="none"/>
              </w:tabs>
              <w:spacing w:before="0" w:after="0"/>
              <w:rPr>
                <w:rFonts w:eastAsia="Calibri"/>
                <w:sz w:val="28"/>
                <w:szCs w:val="28"/>
              </w:rPr>
            </w:pPr>
            <w:r>
              <w:rPr/>
              <w:t xml:space="preserve">- Тепловодосети базы МТС и МПВ,  кадастровый номер </w:t>
            </w:r>
            <w:r>
              <w:rPr>
                <w:rFonts w:eastAsia="Calibri"/>
                <w:sz w:val="28"/>
                <w:szCs w:val="28"/>
              </w:rPr>
              <w:t>28:03:000000:2256, протяженностью 3633 м;</w:t>
            </w:r>
          </w:p>
          <w:p>
            <w:pPr>
              <w:pStyle w:val="Normal"/>
              <w:widowControl w:val="false"/>
              <w:tabs>
                <w:tab w:val="clear" w:pos="567"/>
                <w:tab w:val="left" w:pos="1134" w:leader="none"/>
              </w:tabs>
              <w:spacing w:before="0" w:after="0"/>
              <w:rPr>
                <w:rFonts w:eastAsia="Calibri"/>
                <w:sz w:val="28"/>
                <w:szCs w:val="28"/>
              </w:rPr>
            </w:pPr>
            <w:r>
              <w:rPr/>
              <w:t xml:space="preserve">- </w:t>
            </w:r>
            <w:r>
              <w:rPr>
                <w:rFonts w:eastAsia="Calibri"/>
                <w:sz w:val="28"/>
                <w:szCs w:val="28"/>
              </w:rPr>
              <w:t>Магистральные теплосети 2 очереди опорной базы УНП, кадастровый номер 28:03:020003:520, протяженностью 116 м;</w:t>
            </w:r>
          </w:p>
          <w:p>
            <w:pPr>
              <w:pStyle w:val="Normal"/>
              <w:widowControl w:val="false"/>
              <w:tabs>
                <w:tab w:val="clear" w:pos="567"/>
                <w:tab w:val="left" w:pos="1134" w:leader="none"/>
              </w:tabs>
              <w:rPr/>
            </w:pPr>
            <w:r>
              <w:rPr>
                <w:rFonts w:eastAsia="Calibri"/>
                <w:sz w:val="28"/>
                <w:szCs w:val="28"/>
              </w:rPr>
              <w:t>- Тепловодосети наружные опорной базы, кадастровый номер 28:03:020003:521, протяженностью 515 м.</w:t>
            </w:r>
            <w:r>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3328" w:hanging="3118"/>
              <w:rPr/>
            </w:pPr>
            <w:r>
              <w:rPr/>
            </w:r>
            <w:bookmarkStart w:id="35" w:name="_Ref389745249"/>
            <w:bookmarkStart w:id="36" w:name="_Ref389745249"/>
            <w:bookmarkEnd w:id="36"/>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Многолотовая продажа</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rStyle w:val="Style4"/>
              </w:rPr>
            </w:pPr>
            <w:r>
              <w:rPr>
                <w:b w:val="false"/>
                <w:sz w:val="26"/>
                <w:szCs w:val="26"/>
              </w:rPr>
              <w:t>нет</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3328" w:hanging="3118"/>
              <w:rPr/>
            </w:pPr>
            <w:r>
              <w:rPr/>
            </w:r>
            <w:bookmarkStart w:id="37" w:name="_Ref458187651"/>
            <w:bookmarkStart w:id="38" w:name="_Ref458187651"/>
            <w:bookmarkEnd w:id="38"/>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Наименование и адрес ЭТП</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i/>
                <w:i/>
                <w:shd w:fill="FFFF99" w:val="clear"/>
              </w:rPr>
            </w:pPr>
            <w:r>
              <w:rPr/>
              <w:t xml:space="preserve">Электронная торговая площадка: Акционерное общество «Российский аукционный дом»                            (АО «РАД»),  </w:t>
            </w:r>
            <w:hyperlink r:id="rId2">
              <w:r>
                <w:rPr/>
                <w:t>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3328" w:hanging="3118"/>
              <w:rPr/>
            </w:pPr>
            <w:r>
              <w:rPr/>
            </w:r>
            <w:bookmarkStart w:id="39" w:name="_Ref388452493"/>
            <w:bookmarkStart w:id="40" w:name="_Ref388452493"/>
            <w:bookmarkEnd w:id="40"/>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Участники аукциона </w:t>
            </w:r>
          </w:p>
        </w:tc>
        <w:tc>
          <w:tcPr>
            <w:tcW w:w="5670" w:type="dxa"/>
            <w:tcBorders>
              <w:top w:val="single" w:sz="4" w:space="0" w:color="000000"/>
              <w:bottom w:val="single" w:sz="4" w:space="0" w:color="000000"/>
              <w:right w:val="single" w:sz="4" w:space="0" w:color="000000"/>
            </w:tcBorders>
            <w:vAlign w:val="center"/>
          </w:tcPr>
          <w:p>
            <w:pPr>
              <w:pStyle w:val="Normal"/>
              <w:widowControl w:val="false"/>
              <w:tabs>
                <w:tab w:val="clear" w:pos="567"/>
                <w:tab w:val="left" w:pos="426" w:leader="none"/>
              </w:tabs>
              <w:spacing w:before="120" w:after="12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3328" w:hanging="3118"/>
              <w:rPr/>
            </w:pPr>
            <w:r>
              <w:rPr/>
            </w:r>
            <w:bookmarkStart w:id="41" w:name="_Ref384115722"/>
            <w:bookmarkStart w:id="42" w:name="_Ref384115722"/>
            <w:bookmarkEnd w:id="42"/>
          </w:p>
        </w:tc>
        <w:tc>
          <w:tcPr>
            <w:tcW w:w="2551" w:type="dxa"/>
            <w:tcBorders>
              <w:top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Продавец </w:t>
            </w:r>
          </w:p>
        </w:tc>
        <w:tc>
          <w:tcPr>
            <w:tcW w:w="5670"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spacing w:before="0" w:after="0"/>
              <w:rPr>
                <w:b w:val="false"/>
                <w:sz w:val="26"/>
                <w:szCs w:val="26"/>
              </w:rPr>
            </w:pPr>
            <w:r>
              <w:rPr>
                <w:b w:val="false"/>
                <w:sz w:val="26"/>
                <w:szCs w:val="26"/>
              </w:rPr>
              <w:t>ОГРН 1042401810494</w:t>
            </w:r>
          </w:p>
          <w:p>
            <w:pPr>
              <w:pStyle w:val="Tableheader"/>
              <w:widowControl w:val="false"/>
              <w:spacing w:before="0" w:after="0"/>
              <w:rPr>
                <w:b w:val="false"/>
                <w:sz w:val="26"/>
                <w:szCs w:val="26"/>
              </w:rPr>
            </w:pPr>
            <w:r>
              <w:rPr>
                <w:b w:val="false"/>
                <w:sz w:val="26"/>
                <w:szCs w:val="26"/>
              </w:rPr>
              <w:t>ИНН 2460066195</w:t>
            </w:r>
          </w:p>
          <w:p>
            <w:pPr>
              <w:pStyle w:val="Tableheader"/>
              <w:widowControl w:val="false"/>
              <w:rPr>
                <w:b w:val="false"/>
                <w:sz w:val="26"/>
                <w:szCs w:val="26"/>
              </w:rPr>
            </w:pPr>
            <w:r>
              <w:rPr>
                <w:b w:val="false"/>
                <w:sz w:val="26"/>
                <w:szCs w:val="26"/>
              </w:rPr>
              <w:t xml:space="preserve">Место нахождения: 660017, Красноярский край, </w:t>
              <w:br/>
              <w:t>г. Красноярск, ул. Дубровинского, д.43, стр. 1.</w:t>
            </w:r>
          </w:p>
          <w:p>
            <w:pPr>
              <w:pStyle w:val="Normal"/>
              <w:widowControl w:val="false"/>
              <w:rPr/>
            </w:pPr>
            <w:r>
              <w:rPr/>
              <w:t xml:space="preserve">Почтовый адрес: 676244, Амурская область, </w:t>
              <w:br/>
              <w:t>г. Зея.</w:t>
            </w:r>
          </w:p>
          <w:p>
            <w:pPr>
              <w:pStyle w:val="Normal"/>
              <w:widowControl w:val="false"/>
              <w:rPr/>
            </w:pPr>
            <w:r>
              <w:rPr/>
              <w:t>Адрес электронной почты:</w:t>
            </w:r>
            <w:hyperlink r:id="rId3">
              <w:r>
                <w:rPr/>
                <w:t xml:space="preserve"> </w:t>
              </w:r>
              <w:r>
                <w:rPr>
                  <w:lang w:val="en-US"/>
                </w:rPr>
                <w:t>zges</w:t>
              </w:r>
              <w:r>
                <w:rPr/>
                <w:t>@rushydro.ru</w:t>
              </w:r>
            </w:hyperlink>
            <w:r>
              <w:rPr>
                <w:rStyle w:val="Hyperlink"/>
              </w:rPr>
              <w:t>.</w:t>
            </w:r>
          </w:p>
          <w:p>
            <w:pPr>
              <w:pStyle w:val="Tableheader"/>
              <w:widowControl w:val="false"/>
              <w:spacing w:before="120" w:after="120"/>
              <w:rPr>
                <w:rStyle w:val="Style4"/>
                <w:b/>
                <w:i w:val="false"/>
                <w:i w:val="false"/>
                <w:sz w:val="26"/>
                <w:szCs w:val="26"/>
                <w:shd w:fill="auto" w:val="clear"/>
              </w:rPr>
            </w:pPr>
            <w:r>
              <w:rPr>
                <w:b w:val="false"/>
                <w:sz w:val="26"/>
                <w:szCs w:val="26"/>
              </w:rPr>
              <w:t>Контактный телефон: (41658) 2-45-31.</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3328" w:hanging="3118"/>
              <w:rPr/>
            </w:pPr>
            <w:r>
              <w:rPr/>
            </w:r>
            <w:bookmarkStart w:id="43" w:name="_Ref249842235"/>
            <w:bookmarkStart w:id="44" w:name="_Ref249842235"/>
            <w:bookmarkEnd w:id="44"/>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Организатор продажи </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«Зейская ГЭС» (Филиал ПАО «РусГидро» - «Зейская ГЭС»)</w:t>
            </w:r>
          </w:p>
          <w:p>
            <w:pPr>
              <w:pStyle w:val="Tableheader"/>
              <w:widowControl w:val="false"/>
              <w:rPr>
                <w:b w:val="false"/>
                <w:sz w:val="26"/>
                <w:szCs w:val="26"/>
              </w:rPr>
            </w:pPr>
            <w:r>
              <w:rPr>
                <w:b w:val="false"/>
                <w:sz w:val="26"/>
                <w:szCs w:val="26"/>
              </w:rPr>
              <w:t>Место нахождения: 676244, Амурская область, г. Зея.</w:t>
            </w:r>
          </w:p>
          <w:p>
            <w:pPr>
              <w:pStyle w:val="Normal"/>
              <w:widowControl w:val="false"/>
              <w:rPr/>
            </w:pPr>
            <w:r>
              <w:rPr/>
              <w:t xml:space="preserve">Почтовый адрес: 676244, Амурская область, </w:t>
              <w:br/>
              <w:t>г. Зея.</w:t>
            </w:r>
          </w:p>
          <w:p>
            <w:pPr>
              <w:pStyle w:val="Normal"/>
              <w:widowControl w:val="false"/>
              <w:rPr/>
            </w:pPr>
            <w:r>
              <w:rPr/>
              <w:t>Адрес электронной почты:</w:t>
            </w:r>
            <w:hyperlink r:id="rId4">
              <w:r>
                <w:rPr/>
                <w:t xml:space="preserve"> </w:t>
              </w:r>
              <w:r>
                <w:rPr>
                  <w:lang w:val="en-US"/>
                </w:rPr>
                <w:t>zges</w:t>
              </w:r>
              <w:r>
                <w:rPr/>
                <w:t>@rushydro.ru</w:t>
              </w:r>
            </w:hyperlink>
            <w:r>
              <w:rPr>
                <w:rStyle w:val="Hyperlink"/>
              </w:rPr>
              <w:t>.</w:t>
            </w:r>
          </w:p>
          <w:p>
            <w:pPr>
              <w:pStyle w:val="Tableheader"/>
              <w:widowControl w:val="false"/>
              <w:spacing w:before="120" w:after="120"/>
              <w:rPr>
                <w:rStyle w:val="Style4"/>
                <w:b/>
                <w:sz w:val="26"/>
                <w:szCs w:val="26"/>
                <w:highlight w:val="yellow"/>
              </w:rPr>
            </w:pPr>
            <w:r>
              <w:rPr>
                <w:b w:val="false"/>
                <w:sz w:val="26"/>
                <w:szCs w:val="26"/>
              </w:rPr>
              <w:t>Контактный телефон: (</w:t>
            </w:r>
            <w:r>
              <w:rPr>
                <w:b w:val="false"/>
                <w:sz w:val="26"/>
                <w:szCs w:val="26"/>
                <w:lang w:val="en-US"/>
              </w:rPr>
              <w:t>41658</w:t>
            </w:r>
            <w:r>
              <w:rPr>
                <w:b w:val="false"/>
                <w:sz w:val="26"/>
                <w:szCs w:val="26"/>
              </w:rPr>
              <w:t xml:space="preserve">) </w:t>
            </w:r>
            <w:r>
              <w:rPr>
                <w:b w:val="false"/>
                <w:sz w:val="26"/>
                <w:szCs w:val="26"/>
                <w:lang w:val="en-US"/>
              </w:rPr>
              <w:t>2-45-31</w:t>
            </w:r>
            <w:r>
              <w:rPr>
                <w:b w:val="false"/>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3328" w:hanging="3118"/>
              <w:rPr/>
            </w:pPr>
            <w:r>
              <w:rPr/>
            </w:r>
            <w:bookmarkStart w:id="45" w:name="_Ref384115792"/>
            <w:bookmarkStart w:id="46" w:name="_Ref384115792"/>
            <w:bookmarkEnd w:id="46"/>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Представитель Организатора продажи</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120"/>
              <w:rPr>
                <w:b w:val="false"/>
                <w:sz w:val="26"/>
                <w:szCs w:val="26"/>
              </w:rPr>
            </w:pPr>
            <w:r>
              <w:rPr>
                <w:b w:val="false"/>
                <w:sz w:val="26"/>
                <w:szCs w:val="26"/>
              </w:rPr>
              <w:t>Контактное лицо (Ф.И.О.): Соломко Наталья Валентиновна.</w:t>
            </w:r>
          </w:p>
          <w:p>
            <w:pPr>
              <w:pStyle w:val="Tableheader"/>
              <w:widowControl w:val="false"/>
              <w:spacing w:before="120" w:after="120"/>
              <w:rPr>
                <w:b w:val="false"/>
                <w:sz w:val="26"/>
                <w:szCs w:val="26"/>
              </w:rPr>
            </w:pPr>
            <w:r>
              <w:rPr>
                <w:b w:val="false"/>
                <w:sz w:val="26"/>
                <w:szCs w:val="26"/>
              </w:rPr>
              <w:t>Контактный телефон: 8 (41658) 28-289.</w:t>
            </w:r>
          </w:p>
          <w:p>
            <w:pPr>
              <w:pStyle w:val="Tableheader"/>
              <w:widowControl w:val="false"/>
              <w:spacing w:before="120" w:after="120"/>
              <w:rPr>
                <w:rStyle w:val="Style4"/>
                <w:i w:val="false"/>
                <w:i w:val="false"/>
                <w:sz w:val="26"/>
                <w:szCs w:val="26"/>
                <w:highlight w:val="yellow"/>
                <w:shd w:fill="auto" w:val="clear"/>
              </w:rPr>
            </w:pPr>
            <w:r>
              <w:rPr>
                <w:b w:val="false"/>
                <w:sz w:val="26"/>
                <w:szCs w:val="26"/>
              </w:rPr>
              <w:t xml:space="preserve">Адрес электронной почты: </w:t>
            </w:r>
            <w:r>
              <w:rPr>
                <w:b w:val="false"/>
                <w:sz w:val="26"/>
                <w:szCs w:val="26"/>
                <w:lang w:val="en-US"/>
              </w:rPr>
              <w:t>SolomkoNV</w:t>
            </w:r>
            <w:r>
              <w:rPr>
                <w:b w:val="false"/>
                <w:sz w:val="26"/>
                <w:szCs w:val="26"/>
              </w:rPr>
              <w:t>@rushydro.ru.</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3328" w:hanging="3118"/>
              <w:rPr/>
            </w:pPr>
            <w:r>
              <w:rPr/>
            </w:r>
            <w:bookmarkStart w:id="47" w:name="_Ref514462143"/>
            <w:bookmarkStart w:id="48" w:name="_Ref514462143"/>
            <w:bookmarkEnd w:id="48"/>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Официальный источник размещения информации о проведении аукциона</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0"/>
              <w:rPr/>
            </w:pPr>
            <w:r>
              <w:rPr/>
              <w:t xml:space="preserve">Официальным источником информации о ходе проведения аукциона является Электронная торговая площадка </w:t>
              <w:br/>
              <w:t>АО «Российский аукционный дом».</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49" w:name="_Ref384115739"/>
            <w:bookmarkStart w:id="50" w:name="_Ref384115739"/>
            <w:bookmarkEnd w:id="50"/>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Дата размещения Извещения о проведении аукциона</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rStyle w:val="Style4"/>
                <w:b w:val="false"/>
                <w:sz w:val="20"/>
                <w:szCs w:val="24"/>
              </w:rPr>
            </w:pPr>
            <w:r>
              <w:rPr/>
              <w:t>«25» феврал</w:t>
            </w:r>
            <w:r>
              <w:rPr>
                <w:lang w:val="en-US"/>
              </w:rPr>
              <w:t>я</w:t>
            </w:r>
            <w:r>
              <w:rPr/>
              <w:t xml:space="preserve"> 2025 г.</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51" w:name="_Ref384116250"/>
            <w:bookmarkStart w:id="52" w:name="_Ref384116250"/>
            <w:bookmarkEnd w:id="52"/>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Начальная цена продажи</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0"/>
              <w:rPr>
                <w:rStyle w:val="Style4"/>
                <w:b w:val="false"/>
                <w:sz w:val="20"/>
                <w:szCs w:val="24"/>
              </w:rPr>
            </w:pPr>
            <w:r>
              <w:rPr/>
              <w:t>10 483560 (Десять миллионов четыреста восемьдесят три тысячи пятьсот шестьдесят) рублей 00 копеек с учетом НДС.</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53" w:name="_Ref516229843"/>
            <w:bookmarkStart w:id="54" w:name="_Ref516229843"/>
            <w:bookmarkEnd w:id="54"/>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Шаг аукциона</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120"/>
              <w:rPr>
                <w:rFonts w:eastAsia="Lucida Sans Unicode"/>
                <w:b/>
                <w:i/>
                <w:i/>
                <w:kern w:val="2"/>
                <w:shd w:fill="FFFF99" w:val="clear"/>
              </w:rPr>
            </w:pPr>
            <w:r>
              <w:rPr/>
              <w:t>Шаг аукциона: 100 000 (сто тысяч) рублей 00 копеек с учетом НДС</w:t>
            </w:r>
            <w:r>
              <w:rPr>
                <w:szCs w:val="28"/>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55" w:name="_Ref249865292"/>
            <w:bookmarkStart w:id="56" w:name="_Ref249865292"/>
            <w:bookmarkEnd w:id="56"/>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Задаток</w:t>
            </w:r>
          </w:p>
        </w:tc>
        <w:tc>
          <w:tcPr>
            <w:tcW w:w="5670"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rPr>
                <w:sz w:val="26"/>
                <w:szCs w:val="26"/>
              </w:rPr>
            </w:pPr>
            <w:r>
              <w:rPr>
                <w:sz w:val="26"/>
                <w:szCs w:val="26"/>
              </w:rPr>
              <w:t>Не требуется.</w:t>
            </w:r>
          </w:p>
          <w:p>
            <w:pPr>
              <w:pStyle w:val="Tabletext"/>
              <w:widowControl w:val="false"/>
              <w:rPr>
                <w:bCs/>
                <w:iCs/>
                <w:sz w:val="26"/>
                <w:szCs w:val="26"/>
              </w:rPr>
            </w:pPr>
            <w:r>
              <w:rPr>
                <w:sz w:val="26"/>
                <w:szCs w:val="26"/>
              </w:rPr>
              <w:t>ВНИМАНИЕ! Для того чтобы иметь возможность подать заявку на участие в процедуре,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57" w:name="_Ref513811076"/>
            <w:bookmarkStart w:id="58" w:name="_Ref513811076"/>
            <w:bookmarkEnd w:id="58"/>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4"/>
                <w:b w:val="false"/>
                <w:i w:val="false"/>
                <w:i w:val="false"/>
                <w:sz w:val="26"/>
                <w:szCs w:val="26"/>
                <w:shd w:fill="auto" w:val="clear"/>
              </w:rPr>
            </w:pPr>
            <w:r>
              <w:rPr>
                <w:sz w:val="26"/>
                <w:szCs w:val="26"/>
              </w:rPr>
              <w:t>Заявки подаются по адресу ЭТП, указанному в п.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 xml:space="preserve"> Документации о продаже.</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59" w:name="_Ref513817350"/>
            <w:bookmarkStart w:id="60" w:name="_Ref513817350"/>
            <w:bookmarkEnd w:id="60"/>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color w:val="000000" w:themeColor="text1"/>
                <w:sz w:val="26"/>
                <w:szCs w:val="26"/>
              </w:rPr>
            </w:pPr>
            <w:r>
              <w:rPr>
                <w:color w:val="000000" w:themeColor="text1"/>
                <w:sz w:val="26"/>
                <w:szCs w:val="26"/>
              </w:rPr>
              <w:t>Срок предоставления Заявителям разъяснений по Документации о продаже</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color w:val="000000" w:themeColor="text1"/>
              </w:rPr>
            </w:pPr>
            <w:r>
              <w:rPr>
                <w:color w:val="000000" w:themeColor="text1"/>
              </w:rPr>
              <w:t>Дата и время окончания срока предоставления разъяснений:</w:t>
            </w:r>
          </w:p>
          <w:p>
            <w:pPr>
              <w:pStyle w:val="Normal"/>
              <w:widowControl w:val="false"/>
              <w:rPr>
                <w:color w:val="000000" w:themeColor="text1"/>
              </w:rPr>
            </w:pPr>
            <w:r>
              <w:rPr>
                <w:color w:val="000000" w:themeColor="text1"/>
              </w:rPr>
              <w:t>«07» апреля 2025 г. в 17 ч. 00 мин. (по местному времени Организатора).</w:t>
            </w:r>
          </w:p>
          <w:p>
            <w:pPr>
              <w:pStyle w:val="Normal"/>
              <w:widowControl w:val="false"/>
              <w:rPr>
                <w:b/>
                <w:i/>
                <w:i/>
                <w:color w:val="000000" w:themeColor="text1"/>
                <w:shd w:fill="FFFF99" w:val="clear"/>
              </w:rPr>
            </w:pPr>
            <w:r>
              <w:rPr>
                <w:color w:val="000000" w:themeColor="text1"/>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 </w:t>
            </w:r>
            <w:r>
              <w:rPr>
                <w:color w:val="000000"/>
              </w:rPr>
              <w:fldChar w:fldCharType="begin"/>
            </w:r>
            <w:r>
              <w:rPr>
                <w:color w:val="000000"/>
              </w:rPr>
              <w:instrText xml:space="preserve"> REF _Ref389823218 \r \h </w:instrText>
            </w:r>
            <w:r>
              <w:rPr>
                <w:color w:val="000000"/>
              </w:rPr>
              <w:fldChar w:fldCharType="separate"/>
            </w:r>
            <w:r>
              <w:rPr>
                <w:color w:val="000000"/>
              </w:rPr>
              <w:t>1.2.15</w:t>
            </w:r>
            <w:r>
              <w:rPr>
                <w:color w:val="000000"/>
              </w:rPr>
              <w:fldChar w:fldCharType="end"/>
            </w:r>
            <w:r>
              <w:rPr>
                <w:color w:val="000000" w:themeColor="text1"/>
              </w:rPr>
              <w:t xml:space="preserve"> Документации о продаже.</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61" w:name="_Ref389823218"/>
            <w:bookmarkStart w:id="62" w:name="_Ref389823218"/>
            <w:bookmarkEnd w:id="62"/>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color w:val="000000" w:themeColor="text1"/>
                <w:sz w:val="26"/>
                <w:szCs w:val="26"/>
              </w:rPr>
            </w:pPr>
            <w:r>
              <w:rPr>
                <w:color w:val="000000" w:themeColor="text1"/>
                <w:sz w:val="26"/>
                <w:szCs w:val="26"/>
              </w:rPr>
              <w:t xml:space="preserve">Дата начала – дата и время окончания срока подачи заявок </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color w:val="000000" w:themeColor="text1"/>
              </w:rPr>
            </w:pPr>
            <w:r>
              <w:rPr>
                <w:color w:val="000000" w:themeColor="text1"/>
              </w:rPr>
              <w:t>Дата начала подачи заявок:</w:t>
            </w:r>
          </w:p>
          <w:p>
            <w:pPr>
              <w:pStyle w:val="Normal"/>
              <w:widowControl w:val="false"/>
              <w:spacing w:before="120" w:after="120"/>
              <w:rPr>
                <w:color w:val="000000" w:themeColor="text1"/>
              </w:rPr>
            </w:pPr>
            <w:r>
              <w:rPr>
                <w:color w:val="000000" w:themeColor="text1"/>
              </w:rPr>
              <w:t>«25» февраля 2025 г.</w:t>
            </w:r>
          </w:p>
          <w:p>
            <w:pPr>
              <w:pStyle w:val="Normal"/>
              <w:widowControl w:val="false"/>
              <w:rPr>
                <w:color w:val="000000" w:themeColor="text1"/>
              </w:rPr>
            </w:pPr>
            <w:r>
              <w:rPr>
                <w:color w:val="000000" w:themeColor="text1"/>
              </w:rPr>
              <w:t>Дата и время окончания срока подачи заявок:</w:t>
            </w:r>
          </w:p>
          <w:p>
            <w:pPr>
              <w:pStyle w:val="Tabletext"/>
              <w:widowControl w:val="false"/>
              <w:spacing w:before="120" w:after="120"/>
              <w:rPr>
                <w:rStyle w:val="Style4"/>
                <w:i w:val="false"/>
                <w:i w:val="false"/>
                <w:color w:val="000000" w:themeColor="text1"/>
                <w:sz w:val="26"/>
                <w:szCs w:val="26"/>
                <w:highlight w:val="yellow"/>
                <w:shd w:fill="auto" w:val="clear"/>
              </w:rPr>
            </w:pPr>
            <w:r>
              <w:rPr>
                <w:color w:val="000000" w:themeColor="text1"/>
                <w:sz w:val="26"/>
                <w:szCs w:val="26"/>
              </w:rPr>
              <w:t>«11» апреля 2025 г. в 17 ч.00 мин. (по местному времени Организатора).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63" w:name="_Ref334789513"/>
            <w:bookmarkStart w:id="64" w:name="_Ref334789513"/>
            <w:bookmarkEnd w:id="64"/>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color w:val="000000" w:themeColor="text1"/>
                <w:sz w:val="26"/>
                <w:szCs w:val="26"/>
              </w:rPr>
            </w:pPr>
            <w:r>
              <w:rPr>
                <w:color w:val="000000" w:themeColor="text1"/>
                <w:sz w:val="26"/>
                <w:szCs w:val="26"/>
              </w:rPr>
              <w:t>Дата окончания рассмотрения заявок</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120"/>
              <w:rPr>
                <w:color w:val="000000" w:themeColor="text1"/>
                <w:sz w:val="26"/>
                <w:szCs w:val="26"/>
              </w:rPr>
            </w:pPr>
            <w:r>
              <w:rPr>
                <w:color w:val="000000" w:themeColor="text1"/>
                <w:sz w:val="26"/>
                <w:szCs w:val="26"/>
              </w:rPr>
              <w:t>«1</w:t>
            </w:r>
            <w:r>
              <w:rPr>
                <w:color w:val="000000" w:themeColor="text1"/>
                <w:sz w:val="26"/>
                <w:szCs w:val="26"/>
                <w:lang w:val="en-US"/>
              </w:rPr>
              <w:t>5</w:t>
            </w:r>
            <w:r>
              <w:rPr>
                <w:color w:val="000000" w:themeColor="text1"/>
                <w:sz w:val="26"/>
                <w:szCs w:val="26"/>
              </w:rPr>
              <w:t xml:space="preserve">» апреля 2025 г.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65" w:name="_Ref516229879"/>
            <w:bookmarkStart w:id="66" w:name="_Ref516229879"/>
            <w:bookmarkEnd w:id="66"/>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color w:val="000000" w:themeColor="text1"/>
                <w:sz w:val="26"/>
                <w:szCs w:val="26"/>
              </w:rPr>
            </w:pPr>
            <w:r>
              <w:rPr>
                <w:color w:val="000000" w:themeColor="text1"/>
                <w:sz w:val="26"/>
                <w:szCs w:val="26"/>
              </w:rPr>
              <w:t>Дата и время проведения аукциона</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color w:val="000000" w:themeColor="text1"/>
              </w:rPr>
            </w:pPr>
            <w:r>
              <w:rPr>
                <w:color w:val="000000" w:themeColor="text1"/>
              </w:rPr>
              <w:t>«16» апреля 2025 г. в 14 ч. 00 мин. (по местному времени Организатора).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bookmarkStart w:id="67" w:name="_Ref536798161"/>
            <w:bookmarkStart w:id="68" w:name="_Ref536798161"/>
            <w:bookmarkEnd w:id="68"/>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color w:val="000000" w:themeColor="text1"/>
                <w:sz w:val="26"/>
                <w:szCs w:val="26"/>
              </w:rPr>
            </w:pPr>
            <w:r>
              <w:rPr>
                <w:color w:val="000000" w:themeColor="text1"/>
                <w:sz w:val="26"/>
                <w:szCs w:val="26"/>
              </w:rPr>
              <w:t>Дата подведения итогов</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b/>
                <w:color w:val="000000" w:themeColor="text1"/>
                <w:sz w:val="26"/>
                <w:szCs w:val="26"/>
              </w:rPr>
            </w:pPr>
            <w:r>
              <w:rPr>
                <w:color w:val="000000" w:themeColor="text1"/>
                <w:sz w:val="26"/>
                <w:szCs w:val="26"/>
              </w:rPr>
              <w:t>«</w:t>
            </w:r>
            <w:r>
              <w:rPr>
                <w:color w:val="000000" w:themeColor="text1"/>
                <w:sz w:val="26"/>
                <w:szCs w:val="26"/>
                <w:lang w:val="en-US"/>
              </w:rPr>
              <w:t>18</w:t>
            </w:r>
            <w:r>
              <w:rPr>
                <w:color w:val="000000" w:themeColor="text1"/>
                <w:sz w:val="26"/>
                <w:szCs w:val="26"/>
              </w:rPr>
              <w:t>» апреля 2025 г.</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23"/>
              <w:widowControl w:val="false"/>
              <w:numPr>
                <w:ilvl w:val="2"/>
                <w:numId w:val="3"/>
              </w:numPr>
              <w:tabs>
                <w:tab w:val="left" w:pos="777" w:leader="none"/>
                <w:tab w:val="left" w:pos="4962" w:leader="none"/>
              </w:tabs>
              <w:spacing w:before="120" w:after="0"/>
              <w:ind w:left="918" w:hanging="708"/>
              <w:rPr/>
            </w:pPr>
            <w:r>
              <w:rPr/>
            </w:r>
          </w:p>
        </w:tc>
        <w:tc>
          <w:tcPr>
            <w:tcW w:w="255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5670"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pPr>
              <w:pStyle w:val="Normal"/>
              <w:widowControl w:val="false"/>
              <w:rPr/>
            </w:pPr>
            <w:r>
              <w:rPr/>
              <w:t>Победителем аукциона признается участник, предложивший наиболее высокую цену Договора.</w:t>
            </w:r>
          </w:p>
        </w:tc>
      </w:tr>
    </w:tbl>
    <w:p>
      <w:pPr>
        <w:pStyle w:val="Heading1"/>
        <w:numPr>
          <w:ilvl w:val="0"/>
          <w:numId w:val="3"/>
        </w:numPr>
        <w:jc w:val="center"/>
        <w:rPr>
          <w:rFonts w:ascii="Times New Roman" w:hAnsi="Times New Roman"/>
          <w:sz w:val="28"/>
          <w:szCs w:val="28"/>
        </w:rPr>
      </w:pPr>
      <w:bookmarkStart w:id="69" w:name="_Ref514448858"/>
      <w:bookmarkStart w:id="70" w:name="_Toc43469224"/>
      <w:bookmarkStart w:id="71" w:name="_Toc517582289"/>
      <w:bookmarkStart w:id="72" w:name="_Toc517582613"/>
      <w:bookmarkStart w:id="73" w:name="_Toc518119233"/>
      <w:bookmarkStart w:id="74" w:name="_Toc55193146"/>
      <w:r>
        <w:rPr>
          <w:rFonts w:ascii="Times New Roman" w:hAnsi="Times New Roman"/>
          <w:sz w:val="28"/>
          <w:szCs w:val="28"/>
        </w:rPr>
        <w:t xml:space="preserve">ОБЩИЕ </w:t>
      </w:r>
      <w:bookmarkEnd w:id="71"/>
      <w:bookmarkEnd w:id="72"/>
      <w:bookmarkEnd w:id="73"/>
      <w:bookmarkEnd w:id="74"/>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8"/>
      <w:bookmarkEnd w:id="69"/>
      <w:bookmarkEnd w:id="70"/>
    </w:p>
    <w:p>
      <w:pPr>
        <w:pStyle w:val="Heading2"/>
        <w:numPr>
          <w:ilvl w:val="1"/>
          <w:numId w:val="3"/>
        </w:numPr>
        <w:ind w:left="1134" w:hanging="1134"/>
        <w:rPr>
          <w:sz w:val="26"/>
        </w:rPr>
      </w:pPr>
      <w:bookmarkStart w:id="75" w:name="_Toc43469225"/>
      <w:bookmarkStart w:id="76" w:name="_Toc55285335"/>
      <w:bookmarkStart w:id="77" w:name="_Toc55305369"/>
      <w:bookmarkStart w:id="78" w:name="_Toc57314615"/>
      <w:bookmarkStart w:id="79" w:name="_Toc69728941"/>
      <w:r>
        <w:rPr>
          <w:sz w:val="26"/>
        </w:rPr>
        <w:t xml:space="preserve">Общие сведения </w:t>
      </w:r>
      <w:bookmarkEnd w:id="76"/>
      <w:bookmarkEnd w:id="77"/>
      <w:bookmarkEnd w:id="78"/>
      <w:bookmarkEnd w:id="79"/>
      <w:r>
        <w:rPr>
          <w:sz w:val="26"/>
        </w:rPr>
        <w:t>о продаже</w:t>
      </w:r>
      <w:bookmarkEnd w:id="75"/>
    </w:p>
    <w:p>
      <w:pPr>
        <w:pStyle w:val="Style23"/>
        <w:numPr>
          <w:ilvl w:val="2"/>
          <w:numId w:val="3"/>
        </w:numPr>
        <w:ind w:left="1134" w:hanging="1134"/>
        <w:rPr/>
      </w:pPr>
      <w:bookmarkStart w:id="80" w:name="_Ref55193512"/>
      <w:bookmarkStart w:id="81" w:name="Общие_сведения"/>
      <w:r>
        <w:rPr/>
        <w:t xml:space="preserve">Организатор продажи, указанный в п. </w:t>
      </w:r>
      <w:r>
        <w:rPr/>
        <w:fldChar w:fldCharType="begin"/>
      </w:r>
      <w:r>
        <w:rPr/>
        <w:instrText xml:space="preserve"> REF _Ref249842235 \r \h </w:instrText>
      </w:r>
      <w:r>
        <w:rPr/>
        <w:fldChar w:fldCharType="separate"/>
      </w:r>
      <w:r>
        <w:rPr/>
        <w:t>1.2.6</w:t>
      </w:r>
      <w:r>
        <w:rPr/>
        <w:fldChar w:fldCharType="end"/>
      </w:r>
      <w:r>
        <w:rPr/>
        <w:t xml:space="preserve"> Документации о продаже, Извещением, официально размещенным от даты, указанной в п. </w:t>
      </w:r>
      <w:r>
        <w:rPr/>
        <w:fldChar w:fldCharType="begin"/>
      </w:r>
      <w:r>
        <w:rPr/>
        <w:instrText xml:space="preserve"> REF _Ref384115739 \r \h </w:instrText>
      </w:r>
      <w:r>
        <w:rPr/>
        <w:fldChar w:fldCharType="separate"/>
      </w:r>
      <w:r>
        <w:rPr/>
        <w:t>1.2.9</w:t>
      </w:r>
      <w:r>
        <w:rPr/>
        <w:fldChar w:fldCharType="end"/>
      </w:r>
      <w:r>
        <w:rPr/>
        <w:t xml:space="preserve"> Документации о продаже, приглашает лиц, указанных в п. </w:t>
      </w:r>
      <w:r>
        <w:rPr/>
        <w:fldChar w:fldCharType="begin"/>
      </w:r>
      <w:r>
        <w:rPr/>
        <w:instrText xml:space="preserve"> REF _Ref388452493 \r \h </w:instrText>
      </w:r>
      <w:r>
        <w:rPr/>
        <w:fldChar w:fldCharType="separate"/>
      </w:r>
      <w:r>
        <w:rPr/>
        <w:t>1.2.4</w:t>
      </w:r>
      <w:r>
        <w:rPr/>
        <w:fldChar w:fldCharType="end"/>
      </w:r>
      <w:r>
        <w:rPr/>
        <w:t xml:space="preserve"> Документации о продаже, к участию в аукционе </w:t>
      </w:r>
      <w:bookmarkEnd w:id="80"/>
      <w:bookmarkEnd w:id="81"/>
      <w:r>
        <w:rPr/>
        <w:t xml:space="preserve">на право заключения договора, предмет которого указан в п. </w:t>
      </w:r>
      <w:r>
        <w:rPr/>
        <w:fldChar w:fldCharType="begin"/>
      </w:r>
      <w:r>
        <w:rPr/>
        <w:instrText xml:space="preserve"> REF _Ref249785568 \r \h </w:instrText>
      </w:r>
      <w:r>
        <w:rPr/>
        <w:fldChar w:fldCharType="separate"/>
      </w:r>
      <w:r>
        <w:rPr/>
        <w:t>1.2.1</w:t>
      </w:r>
      <w:r>
        <w:rPr/>
        <w:fldChar w:fldCharType="end"/>
      </w:r>
      <w:r>
        <w:rPr/>
        <w:t xml:space="preserve"> Документации о продаже.</w:t>
      </w:r>
    </w:p>
    <w:p>
      <w:pPr>
        <w:pStyle w:val="Style23"/>
        <w:numPr>
          <w:ilvl w:val="2"/>
          <w:numId w:val="3"/>
        </w:numPr>
        <w:ind w:left="1134" w:hanging="1134"/>
        <w:rPr/>
      </w:pPr>
      <w:r>
        <w:rPr/>
        <w:t xml:space="preserve">Для справок следует обращаться к представителю Организатора продажи, указанному в п. </w:t>
      </w:r>
      <w:r>
        <w:rPr/>
        <w:fldChar w:fldCharType="begin"/>
      </w:r>
      <w:r>
        <w:rPr/>
        <w:instrText xml:space="preserve"> REF _Ref384115792 \r \h </w:instrText>
      </w:r>
      <w:r>
        <w:rPr/>
        <w:fldChar w:fldCharType="separate"/>
      </w:r>
      <w:r>
        <w:rPr/>
        <w:t>1.2.7</w:t>
      </w:r>
      <w:r>
        <w:rPr/>
        <w:fldChar w:fldCharType="end"/>
      </w:r>
      <w:r>
        <w:rPr/>
        <w:t xml:space="preserve"> Документации о продаже.</w:t>
      </w:r>
    </w:p>
    <w:p>
      <w:pPr>
        <w:pStyle w:val="Heading2"/>
        <w:numPr>
          <w:ilvl w:val="1"/>
          <w:numId w:val="3"/>
        </w:numPr>
        <w:ind w:left="1134" w:hanging="1134"/>
        <w:rPr>
          <w:sz w:val="26"/>
        </w:rPr>
      </w:pPr>
      <w:bookmarkStart w:id="82" w:name="_Toc55285336"/>
      <w:bookmarkStart w:id="83" w:name="_Toc55305370"/>
      <w:bookmarkStart w:id="84" w:name="_Ref55313246"/>
      <w:bookmarkStart w:id="85" w:name="_Ref56231140"/>
      <w:bookmarkStart w:id="86" w:name="_Ref56231144"/>
      <w:bookmarkStart w:id="87" w:name="_Toc57314617"/>
      <w:bookmarkStart w:id="88" w:name="_Toc69728943"/>
      <w:bookmarkStart w:id="89" w:name="_Toc43469226"/>
      <w:bookmarkStart w:id="90" w:name="_Toc514455538"/>
      <w:bookmarkEnd w:id="90"/>
      <w:r>
        <w:rPr>
          <w:sz w:val="26"/>
        </w:rPr>
        <w:t>Правовой статус документов</w:t>
      </w:r>
      <w:bookmarkEnd w:id="82"/>
      <w:bookmarkEnd w:id="83"/>
      <w:bookmarkEnd w:id="84"/>
      <w:bookmarkEnd w:id="85"/>
      <w:bookmarkEnd w:id="86"/>
      <w:bookmarkEnd w:id="87"/>
      <w:bookmarkEnd w:id="88"/>
      <w:bookmarkEnd w:id="89"/>
    </w:p>
    <w:p>
      <w:pPr>
        <w:pStyle w:val="Style23"/>
        <w:numPr>
          <w:ilvl w:val="2"/>
          <w:numId w:val="51"/>
        </w:numPr>
        <w:ind w:left="1134" w:hanging="1134"/>
        <w:rPr/>
      </w:pPr>
      <w:bookmarkStart w:id="91" w:name="_Toc518119237"/>
      <w:bookmarkEnd w:id="91"/>
      <w:r>
        <w:rPr/>
        <w:t>Документация о продаже вместе с Извещением, являющимся ее неотъемлемой частью, являются публичной офертой Организатора продажи в соответствии со статьей 437 ГК РФ и должны рассматриваться участниками в соответствии с этим до подведения итогов аукциона.</w:t>
      </w:r>
    </w:p>
    <w:p>
      <w:pPr>
        <w:pStyle w:val="Style23"/>
        <w:numPr>
          <w:ilvl w:val="2"/>
          <w:numId w:val="52"/>
        </w:numPr>
        <w:ind w:left="1134" w:hanging="1134"/>
        <w:rPr/>
      </w:pPr>
      <w:r>
        <w:rPr/>
        <w:t>Заявка Заявителя (Участника аукциона) в соответствии со статьей 438 ГК РФ является акцептом такой оферты Организатора продажи.</w:t>
      </w:r>
    </w:p>
    <w:p>
      <w:pPr>
        <w:pStyle w:val="Heading2"/>
        <w:numPr>
          <w:ilvl w:val="1"/>
          <w:numId w:val="3"/>
        </w:numPr>
        <w:ind w:left="1134" w:hanging="1134"/>
        <w:rPr>
          <w:sz w:val="26"/>
        </w:rPr>
      </w:pPr>
      <w:bookmarkStart w:id="92" w:name="_Toc57314621"/>
      <w:bookmarkStart w:id="93" w:name="_Toc69728946"/>
      <w:bookmarkStart w:id="94" w:name="_Ref514509614"/>
      <w:bookmarkStart w:id="95" w:name="_Toc43469227"/>
      <w:bookmarkStart w:id="96" w:name="_Toc501038041"/>
      <w:bookmarkStart w:id="97" w:name="_Toc502257141"/>
      <w:bookmarkStart w:id="98" w:name="_Toc55285339"/>
      <w:bookmarkStart w:id="99" w:name="_Toc55305373"/>
      <w:bookmarkStart w:id="100" w:name="_Toc57314619"/>
      <w:bookmarkStart w:id="101" w:name="_Toc69728944"/>
      <w:bookmarkStart w:id="102" w:name="_Toc66354324"/>
      <w:bookmarkEnd w:id="96"/>
      <w:bookmarkEnd w:id="97"/>
      <w:bookmarkEnd w:id="98"/>
      <w:bookmarkEnd w:id="99"/>
      <w:bookmarkEnd w:id="100"/>
      <w:bookmarkEnd w:id="101"/>
      <w:bookmarkEnd w:id="102"/>
      <w:r>
        <w:rPr>
          <w:sz w:val="26"/>
        </w:rPr>
        <w:t>Особые положения при проведении аукциона с использованием ЭТП</w:t>
      </w:r>
      <w:bookmarkEnd w:id="94"/>
      <w:bookmarkEnd w:id="95"/>
    </w:p>
    <w:p>
      <w:pPr>
        <w:pStyle w:val="Style23"/>
        <w:numPr>
          <w:ilvl w:val="2"/>
          <w:numId w:val="3"/>
        </w:numPr>
        <w:ind w:left="1134" w:hanging="1134"/>
        <w:rPr/>
      </w:pPr>
      <w:r>
        <w:rPr/>
        <w:t xml:space="preserve">Наименование ЭТП, посредством которой проводится аукцион, указано в п. </w:t>
      </w:r>
      <w:r>
        <w:rPr/>
        <w:fldChar w:fldCharType="begin"/>
      </w:r>
      <w:r>
        <w:rPr/>
        <w:instrText xml:space="preserve"> REF _Ref458187651 \r \h </w:instrText>
      </w:r>
      <w:r>
        <w:rPr/>
        <w:fldChar w:fldCharType="separate"/>
      </w:r>
      <w:r>
        <w:rPr/>
        <w:t>1.2.3</w:t>
      </w:r>
      <w:r>
        <w:rPr/>
        <w:fldChar w:fldCharType="end"/>
      </w:r>
      <w:r>
        <w:rPr/>
        <w:t xml:space="preserve"> Документации о продаже. До подачи заявки Заявитель обязан ознакомиться с Регламентом ЭТП.</w:t>
      </w:r>
    </w:p>
    <w:p>
      <w:pPr>
        <w:pStyle w:val="Style23"/>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и Организатор продажи не несет ответственности за результат ее прохождения Заявителем, в том числе понесенные им затраты.</w:t>
      </w:r>
    </w:p>
    <w:p>
      <w:pPr>
        <w:pStyle w:val="Style23"/>
        <w:numPr>
          <w:ilvl w:val="2"/>
          <w:numId w:val="3"/>
        </w:numPr>
        <w:ind w:left="1134" w:hanging="1134"/>
        <w:rPr/>
      </w:pPr>
      <w:r>
        <w:rPr/>
        <w:t>Обмен между Заявителем (Участником аукциона), Продавцом (Организатором продажи)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3"/>
        <w:widowControl w:val="false"/>
        <w:numPr>
          <w:ilvl w:val="2"/>
          <w:numId w:val="3"/>
        </w:numPr>
        <w:ind w:left="1134" w:hanging="1134"/>
        <w:rPr/>
      </w:pPr>
      <w:r>
        <w:rPr/>
        <w:t>Цена заявки и иные условия аукциона, указанные Заявителем (Участником аукциона) в специальных электронных формах на ЭТП, имеют преимущество перед сведениями, указанными в загруженных на ЭТП прочих электронных документах Заявителя (Участника аукциона).</w:t>
      </w:r>
    </w:p>
    <w:p>
      <w:pPr>
        <w:pStyle w:val="Heading2"/>
        <w:numPr>
          <w:ilvl w:val="1"/>
          <w:numId w:val="3"/>
        </w:numPr>
        <w:ind w:left="1134" w:hanging="1134"/>
        <w:rPr>
          <w:sz w:val="26"/>
        </w:rPr>
      </w:pPr>
      <w:bookmarkStart w:id="103" w:name="_Toc43469228"/>
      <w:bookmarkStart w:id="104" w:name="_Toc55285338"/>
      <w:bookmarkStart w:id="105" w:name="_Toc55305372"/>
      <w:r>
        <w:rPr>
          <w:sz w:val="26"/>
        </w:rPr>
        <w:t xml:space="preserve">Прочие </w:t>
      </w:r>
      <w:bookmarkEnd w:id="104"/>
      <w:bookmarkEnd w:id="105"/>
      <w:r>
        <w:rPr>
          <w:sz w:val="26"/>
        </w:rPr>
        <w:t>положения</w:t>
      </w:r>
      <w:bookmarkEnd w:id="92"/>
      <w:bookmarkEnd w:id="93"/>
      <w:bookmarkEnd w:id="103"/>
    </w:p>
    <w:p>
      <w:pPr>
        <w:pStyle w:val="Style23"/>
        <w:numPr>
          <w:ilvl w:val="2"/>
          <w:numId w:val="3"/>
        </w:numPr>
        <w:tabs>
          <w:tab w:val="left" w:pos="3828" w:leader="none"/>
          <w:tab w:val="left" w:pos="4962" w:leader="none"/>
        </w:tabs>
        <w:ind w:left="1134" w:hanging="1134"/>
        <w:rPr/>
      </w:pPr>
      <w:r>
        <w:rPr/>
        <w:t>Заявитель (Участник аукциона) самостоятельно несет все расходы, связанные с подготовкой и подачей заявки, а Организатор продажи по этим расходам не отвечает и не имеет обязательств, за исключением случаев, прямо установленных законодательством РФ.</w:t>
      </w:r>
    </w:p>
    <w:p>
      <w:pPr>
        <w:pStyle w:val="Style23"/>
        <w:numPr>
          <w:ilvl w:val="2"/>
          <w:numId w:val="3"/>
        </w:numPr>
        <w:tabs>
          <w:tab w:val="left" w:pos="3828" w:leader="none"/>
          <w:tab w:val="left" w:pos="4962" w:leader="none"/>
        </w:tabs>
        <w:ind w:left="1134" w:hanging="1134"/>
        <w:rPr/>
      </w:pPr>
      <w:r>
        <w:rPr/>
        <w:t>Организатор продажи на основании решения Комиссии по проведению аукциона (далее – Комиссия), вправе отклонить заявку, если будет установлено, что Заявитель / Участник аукциона прямо или косвенно дал, согласился дать или предложил работнику Организатора продажи,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jc w:val="center"/>
        <w:rPr>
          <w:rFonts w:ascii="Times New Roman" w:hAnsi="Times New Roman"/>
          <w:caps/>
          <w:kern w:val="0"/>
          <w:sz w:val="28"/>
          <w:szCs w:val="28"/>
        </w:rPr>
      </w:pPr>
      <w:bookmarkStart w:id="106" w:name="_Ref514453315"/>
      <w:bookmarkStart w:id="107" w:name="_Ref93088240"/>
      <w:bookmarkStart w:id="108" w:name="_Toc43469229"/>
      <w:bookmarkStart w:id="109" w:name="_Toc197149867"/>
      <w:bookmarkStart w:id="110" w:name="_Toc197150336"/>
      <w:bookmarkStart w:id="111" w:name="_Toc311803629"/>
      <w:bookmarkEnd w:id="109"/>
      <w:bookmarkEnd w:id="110"/>
      <w:bookmarkEnd w:id="111"/>
      <w:r>
        <w:rPr>
          <w:rFonts w:ascii="Times New Roman" w:hAnsi="Times New Roman"/>
          <w:caps/>
          <w:kern w:val="0"/>
          <w:sz w:val="28"/>
          <w:szCs w:val="28"/>
        </w:rPr>
        <w:t>ПРЕДМЕТ ПРОДАЖИ</w:t>
      </w:r>
      <w:bookmarkEnd w:id="108"/>
    </w:p>
    <w:p>
      <w:pPr>
        <w:pStyle w:val="Heading2"/>
        <w:numPr>
          <w:ilvl w:val="1"/>
          <w:numId w:val="3"/>
        </w:numPr>
        <w:ind w:left="1134" w:hanging="1134"/>
        <w:rPr>
          <w:sz w:val="26"/>
        </w:rPr>
      </w:pPr>
      <w:bookmarkStart w:id="112" w:name="_Toc43469230"/>
      <w:r>
        <w:rPr>
          <w:sz w:val="26"/>
        </w:rPr>
        <w:t>Информация о предмете продажи</w:t>
      </w:r>
      <w:bookmarkEnd w:id="112"/>
      <w:r>
        <w:rPr>
          <w:sz w:val="26"/>
        </w:rPr>
        <w:t xml:space="preserve"> </w:t>
      </w:r>
    </w:p>
    <w:p>
      <w:pPr>
        <w:pStyle w:val="Style23"/>
        <w:numPr>
          <w:ilvl w:val="2"/>
          <w:numId w:val="53"/>
        </w:numPr>
        <w:tabs>
          <w:tab w:val="left" w:pos="1560" w:leader="none"/>
          <w:tab w:val="left" w:pos="3828" w:leader="none"/>
          <w:tab w:val="left" w:pos="4962" w:leader="none"/>
        </w:tabs>
        <w:spacing w:before="0" w:after="80"/>
        <w:ind w:left="1134" w:hanging="1134"/>
        <w:rPr/>
      </w:pPr>
      <w:r>
        <w:rPr/>
        <w:t>Предметом продажи является следующее имущество:</w:t>
      </w:r>
    </w:p>
    <w:tbl>
      <w:tblPr>
        <w:tblStyle w:val="afff8"/>
        <w:tblW w:w="9582"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727"/>
        <w:gridCol w:w="1808"/>
        <w:gridCol w:w="1251"/>
        <w:gridCol w:w="1669"/>
        <w:gridCol w:w="1947"/>
        <w:gridCol w:w="1946"/>
        <w:gridCol w:w="36"/>
        <w:gridCol w:w="197"/>
      </w:tblGrid>
      <w:tr>
        <w:trPr/>
        <w:tc>
          <w:tcPr>
            <w:tcW w:w="727" w:type="dxa"/>
            <w:tcBorders/>
            <w:vAlign w:val="center"/>
          </w:tcPr>
          <w:p>
            <w:pPr>
              <w:pStyle w:val="Normal"/>
              <w:widowControl w:val="false"/>
              <w:suppressAutoHyphens w:val="true"/>
              <w:spacing w:before="120" w:after="0"/>
              <w:jc w:val="center"/>
              <w:rPr>
                <w:sz w:val="18"/>
                <w:szCs w:val="18"/>
              </w:rPr>
            </w:pPr>
            <w:r>
              <w:rPr>
                <w:rFonts w:eastAsia="Times New Roman" w:cs="Times New Roman"/>
                <w:kern w:val="0"/>
                <w:sz w:val="18"/>
                <w:szCs w:val="18"/>
                <w:lang w:val="ru-RU" w:eastAsia="ru-RU" w:bidi="ar-SA"/>
              </w:rPr>
              <w:t xml:space="preserve">№ </w:t>
            </w:r>
            <w:r>
              <w:rPr>
                <w:rFonts w:eastAsia="Times New Roman" w:cs="Times New Roman"/>
                <w:kern w:val="0"/>
                <w:sz w:val="18"/>
                <w:szCs w:val="18"/>
                <w:lang w:val="ru-RU" w:eastAsia="ru-RU" w:bidi="ar-SA"/>
              </w:rPr>
              <w:t>п/п</w:t>
            </w:r>
          </w:p>
        </w:tc>
        <w:tc>
          <w:tcPr>
            <w:tcW w:w="1808" w:type="dxa"/>
            <w:tcBorders/>
            <w:vAlign w:val="center"/>
          </w:tcPr>
          <w:p>
            <w:pPr>
              <w:pStyle w:val="Normal"/>
              <w:widowControl w:val="false"/>
              <w:suppressAutoHyphens w:val="true"/>
              <w:spacing w:before="120" w:after="0"/>
              <w:jc w:val="center"/>
              <w:rPr>
                <w:sz w:val="18"/>
                <w:szCs w:val="18"/>
              </w:rPr>
            </w:pPr>
            <w:r>
              <w:rPr>
                <w:rFonts w:eastAsia="Times New Roman" w:cs="Times New Roman"/>
                <w:kern w:val="0"/>
                <w:sz w:val="18"/>
                <w:szCs w:val="18"/>
                <w:lang w:val="ru-RU" w:eastAsia="ru-RU" w:bidi="ar-SA"/>
              </w:rPr>
              <w:t>Наименование объекта</w:t>
            </w:r>
          </w:p>
        </w:tc>
        <w:tc>
          <w:tcPr>
            <w:tcW w:w="1251" w:type="dxa"/>
            <w:tcBorders/>
            <w:vAlign w:val="center"/>
          </w:tcPr>
          <w:p>
            <w:pPr>
              <w:pStyle w:val="Normal"/>
              <w:widowControl w:val="false"/>
              <w:suppressAutoHyphens w:val="true"/>
              <w:spacing w:before="120" w:after="0"/>
              <w:jc w:val="center"/>
              <w:rPr>
                <w:sz w:val="18"/>
                <w:szCs w:val="18"/>
              </w:rPr>
            </w:pPr>
            <w:r>
              <w:rPr>
                <w:rFonts w:eastAsia="Times New Roman" w:cs="Times New Roman"/>
                <w:kern w:val="0"/>
                <w:sz w:val="18"/>
                <w:szCs w:val="18"/>
                <w:lang w:val="ru-RU" w:eastAsia="ru-RU" w:bidi="ar-SA"/>
              </w:rPr>
              <w:t>Адрес местонахождения</w:t>
            </w:r>
          </w:p>
        </w:tc>
        <w:tc>
          <w:tcPr>
            <w:tcW w:w="1669" w:type="dxa"/>
            <w:tcBorders/>
            <w:vAlign w:val="center"/>
          </w:tcPr>
          <w:p>
            <w:pPr>
              <w:pStyle w:val="Normal"/>
              <w:widowControl w:val="false"/>
              <w:suppressAutoHyphens w:val="true"/>
              <w:spacing w:before="120" w:after="0"/>
              <w:jc w:val="center"/>
              <w:rPr>
                <w:sz w:val="18"/>
                <w:szCs w:val="18"/>
              </w:rPr>
            </w:pPr>
            <w:r>
              <w:rPr>
                <w:rFonts w:eastAsia="Times New Roman" w:cs="Times New Roman"/>
                <w:kern w:val="0"/>
                <w:sz w:val="18"/>
                <w:szCs w:val="18"/>
                <w:lang w:val="ru-RU" w:eastAsia="ru-RU" w:bidi="ar-SA"/>
              </w:rPr>
              <w:t>Кадастровый номер</w:t>
            </w:r>
          </w:p>
        </w:tc>
        <w:tc>
          <w:tcPr>
            <w:tcW w:w="1947" w:type="dxa"/>
            <w:tcBorders/>
            <w:vAlign w:val="center"/>
          </w:tcPr>
          <w:p>
            <w:pPr>
              <w:pStyle w:val="Normal"/>
              <w:widowControl w:val="false"/>
              <w:suppressAutoHyphens w:val="true"/>
              <w:spacing w:before="120" w:after="0"/>
              <w:jc w:val="center"/>
              <w:rPr>
                <w:sz w:val="18"/>
                <w:szCs w:val="18"/>
              </w:rPr>
            </w:pPr>
            <w:r>
              <w:rPr>
                <w:rFonts w:eastAsia="Times New Roman" w:cs="Times New Roman"/>
                <w:kern w:val="0"/>
                <w:sz w:val="18"/>
                <w:szCs w:val="18"/>
                <w:lang w:val="ru-RU" w:eastAsia="ru-RU" w:bidi="ar-SA"/>
              </w:rPr>
              <w:t>Предмет продажи принадлежит Продавцу на праве собственности, о чем в ЕГРН сделана запись регистрации №</w:t>
            </w:r>
          </w:p>
        </w:tc>
        <w:tc>
          <w:tcPr>
            <w:tcW w:w="1946" w:type="dxa"/>
            <w:tcBorders/>
            <w:vAlign w:val="center"/>
          </w:tcPr>
          <w:p>
            <w:pPr>
              <w:pStyle w:val="Normal"/>
              <w:widowControl w:val="false"/>
              <w:suppressAutoHyphens w:val="true"/>
              <w:spacing w:before="120" w:after="0"/>
              <w:jc w:val="center"/>
              <w:rPr>
                <w:sz w:val="18"/>
                <w:szCs w:val="18"/>
              </w:rPr>
            </w:pPr>
            <w:r>
              <w:rPr>
                <w:rFonts w:eastAsia="Times New Roman" w:cs="Times New Roman"/>
                <w:kern w:val="0"/>
                <w:sz w:val="18"/>
                <w:szCs w:val="18"/>
                <w:lang w:val="ru-RU" w:eastAsia="ru-RU" w:bidi="ar-SA"/>
              </w:rPr>
              <w:t>Начальная цена продажи (с учетом НДС), руб.</w:t>
            </w:r>
          </w:p>
        </w:tc>
        <w:tc>
          <w:tcPr>
            <w:tcW w:w="233" w:type="dxa"/>
            <w:gridSpan w:val="2"/>
            <w:tcBorders>
              <w:top w:val="nil"/>
              <w:left w:val="nil"/>
              <w:bottom w:val="nil"/>
              <w:right w:val="nil"/>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r>
      <w:tr>
        <w:trPr/>
        <w:tc>
          <w:tcPr>
            <w:tcW w:w="9384" w:type="dxa"/>
            <w:gridSpan w:val="7"/>
            <w:tcBorders/>
            <w:vAlign w:val="center"/>
          </w:tcPr>
          <w:p>
            <w:pPr>
              <w:pStyle w:val="Normal"/>
              <w:widowControl w:val="false"/>
              <w:suppressAutoHyphens w:val="true"/>
              <w:spacing w:before="120" w:after="0"/>
              <w:jc w:val="left"/>
              <w:rPr>
                <w:b/>
                <w:sz w:val="20"/>
                <w:szCs w:val="20"/>
              </w:rPr>
            </w:pPr>
            <w:r>
              <w:rPr>
                <w:rFonts w:eastAsia="Times New Roman" w:cs="Times New Roman"/>
                <w:b/>
                <w:bCs/>
                <w:kern w:val="0"/>
                <w:sz w:val="20"/>
                <w:szCs w:val="20"/>
                <w:lang w:val="ru-RU" w:eastAsia="ru-RU" w:bidi="ar-SA"/>
              </w:rPr>
              <w:t>Сети тепловодоснабжения:</w:t>
            </w:r>
          </w:p>
        </w:tc>
        <w:tc>
          <w:tcPr>
            <w:tcW w:w="197" w:type="dxa"/>
            <w:tcBorders>
              <w:top w:val="nil"/>
              <w:left w:val="nil"/>
              <w:bottom w:val="nil"/>
              <w:right w:val="nil"/>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r>
      <w:tr>
        <w:trPr/>
        <w:tc>
          <w:tcPr>
            <w:tcW w:w="727" w:type="dxa"/>
            <w:tcBorders/>
            <w:vAlign w:val="center"/>
          </w:tcPr>
          <w:p>
            <w:pPr>
              <w:pStyle w:val="Normal"/>
              <w:widowControl w:val="false"/>
              <w:suppressAutoHyphens w:val="true"/>
              <w:spacing w:before="0" w:after="0"/>
              <w:jc w:val="center"/>
              <w:rPr>
                <w:sz w:val="18"/>
                <w:szCs w:val="18"/>
              </w:rPr>
            </w:pPr>
            <w:r>
              <w:rPr>
                <w:rFonts w:eastAsia="Times New Roman" w:cs="Times New Roman"/>
                <w:kern w:val="0"/>
                <w:sz w:val="18"/>
                <w:szCs w:val="18"/>
                <w:lang w:val="ru-RU" w:eastAsia="ru-RU" w:bidi="ar-SA"/>
              </w:rPr>
              <w:t>1.</w:t>
            </w:r>
          </w:p>
        </w:tc>
        <w:tc>
          <w:tcPr>
            <w:tcW w:w="1808" w:type="dxa"/>
            <w:tcBorders/>
            <w:vAlign w:val="center"/>
          </w:tcPr>
          <w:p>
            <w:pPr>
              <w:pStyle w:val="Normal"/>
              <w:widowControl w:val="false"/>
              <w:suppressAutoHyphens w:val="true"/>
              <w:spacing w:before="0" w:after="0"/>
              <w:jc w:val="left"/>
              <w:rPr>
                <w:sz w:val="18"/>
                <w:szCs w:val="18"/>
              </w:rPr>
            </w:pPr>
            <w:r>
              <w:rPr>
                <w:rFonts w:eastAsia="Times New Roman" w:cs="Times New Roman"/>
                <w:kern w:val="0"/>
                <w:sz w:val="18"/>
                <w:szCs w:val="18"/>
                <w:lang w:val="ru-RU" w:eastAsia="ru-RU" w:bidi="ar-SA"/>
              </w:rPr>
              <w:t xml:space="preserve">Тепловодосети базы МТС и МПВ </w:t>
            </w:r>
          </w:p>
        </w:tc>
        <w:tc>
          <w:tcPr>
            <w:tcW w:w="1251" w:type="dxa"/>
            <w:vMerge w:val="restart"/>
            <w:tcBorders/>
            <w:vAlign w:val="center"/>
          </w:tcPr>
          <w:p>
            <w:pPr>
              <w:pStyle w:val="Normal"/>
              <w:widowControl w:val="false"/>
              <w:suppressAutoHyphens w:val="true"/>
              <w:spacing w:before="0" w:after="0"/>
              <w:jc w:val="center"/>
              <w:rPr>
                <w:sz w:val="18"/>
                <w:szCs w:val="18"/>
              </w:rPr>
            </w:pPr>
            <w:r>
              <w:rPr>
                <w:rFonts w:eastAsia="Times New Roman" w:cs="Times New Roman"/>
                <w:kern w:val="0"/>
                <w:sz w:val="18"/>
                <w:szCs w:val="18"/>
                <w:lang w:val="ru-RU" w:eastAsia="ru-RU" w:bidi="ar-SA"/>
              </w:rPr>
              <w:t xml:space="preserve">Амурская область,   г.Зея </w:t>
            </w:r>
          </w:p>
        </w:tc>
        <w:tc>
          <w:tcPr>
            <w:tcW w:w="1669" w:type="dxa"/>
            <w:tcBorders/>
            <w:vAlign w:val="center"/>
          </w:tcPr>
          <w:p>
            <w:pPr>
              <w:pStyle w:val="Normal"/>
              <w:widowControl w:val="false"/>
              <w:suppressAutoHyphens w:val="true"/>
              <w:spacing w:before="0" w:after="0"/>
              <w:jc w:val="center"/>
              <w:rPr>
                <w:sz w:val="18"/>
                <w:szCs w:val="18"/>
              </w:rPr>
            </w:pPr>
            <w:r>
              <w:rPr>
                <w:rFonts w:eastAsia="Times New Roman" w:cs="Times New Roman"/>
                <w:kern w:val="0"/>
                <w:sz w:val="18"/>
                <w:szCs w:val="18"/>
                <w:lang w:val="ru-RU" w:eastAsia="ru-RU" w:bidi="ar-SA"/>
              </w:rPr>
              <w:t>28:03:000000:2256</w:t>
            </w:r>
          </w:p>
        </w:tc>
        <w:tc>
          <w:tcPr>
            <w:tcW w:w="1947" w:type="dxa"/>
            <w:tcBorders/>
            <w:vAlign w:val="center"/>
          </w:tcPr>
          <w:p>
            <w:pPr>
              <w:pStyle w:val="Normal"/>
              <w:widowControl w:val="false"/>
              <w:suppressAutoHyphens w:val="true"/>
              <w:spacing w:before="0" w:after="0"/>
              <w:jc w:val="center"/>
              <w:rPr>
                <w:sz w:val="18"/>
                <w:szCs w:val="18"/>
              </w:rPr>
            </w:pPr>
            <w:r>
              <w:rPr>
                <w:rFonts w:eastAsia="Times New Roman" w:cs="Times New Roman"/>
                <w:kern w:val="0"/>
                <w:sz w:val="18"/>
                <w:szCs w:val="18"/>
                <w:lang w:val="ru-RU" w:eastAsia="ru-RU" w:bidi="ar-SA"/>
              </w:rPr>
              <w:t>28:03:000000:2256-28/055/2021-1 от 24.12.2021</w:t>
            </w:r>
          </w:p>
        </w:tc>
        <w:tc>
          <w:tcPr>
            <w:tcW w:w="1946" w:type="dxa"/>
            <w:vMerge w:val="restart"/>
            <w:tcBorders/>
            <w:vAlign w:val="center"/>
          </w:tcPr>
          <w:p>
            <w:pPr>
              <w:pStyle w:val="Normal"/>
              <w:widowControl w:val="false"/>
              <w:suppressAutoHyphens w:val="true"/>
              <w:spacing w:before="0" w:after="0"/>
              <w:jc w:val="center"/>
              <w:rPr>
                <w:sz w:val="18"/>
                <w:szCs w:val="18"/>
              </w:rPr>
            </w:pPr>
            <w:r>
              <w:rPr>
                <w:rFonts w:eastAsia="Times New Roman" w:cs="Times New Roman"/>
                <w:kern w:val="0"/>
                <w:sz w:val="18"/>
                <w:szCs w:val="18"/>
                <w:lang w:val="ru-RU" w:eastAsia="ru-RU" w:bidi="ar-SA"/>
              </w:rPr>
              <w:t>10 483 560</w:t>
            </w:r>
            <w:r>
              <w:rPr>
                <w:rFonts w:eastAsia="Times New Roman" w:cs="Times New Roman"/>
                <w:kern w:val="0"/>
                <w:sz w:val="18"/>
                <w:szCs w:val="18"/>
                <w:lang w:val="en-US" w:eastAsia="ru-RU" w:bidi="ar-SA"/>
              </w:rPr>
              <w:t>,00</w:t>
            </w:r>
          </w:p>
        </w:tc>
        <w:tc>
          <w:tcPr>
            <w:tcW w:w="233" w:type="dxa"/>
            <w:gridSpan w:val="2"/>
            <w:tcBorders>
              <w:top w:val="nil"/>
              <w:left w:val="nil"/>
              <w:bottom w:val="nil"/>
              <w:right w:val="nil"/>
            </w:tcBorders>
          </w:tcPr>
          <w:p>
            <w:pPr>
              <w:pStyle w:val="Normal"/>
              <w:widowControl w:val="false"/>
              <w:suppressAutoHyphens w:val="true"/>
              <w:spacing w:before="120" w:after="0"/>
              <w:rPr>
                <w:sz w:val="18"/>
                <w:szCs w:val="18"/>
              </w:rPr>
            </w:pPr>
            <w:r>
              <w:rPr>
                <w:sz w:val="18"/>
                <w:szCs w:val="18"/>
              </w:rPr>
            </w:r>
          </w:p>
        </w:tc>
      </w:tr>
      <w:tr>
        <w:trPr/>
        <w:tc>
          <w:tcPr>
            <w:tcW w:w="727" w:type="dxa"/>
            <w:tcBorders/>
            <w:vAlign w:val="center"/>
          </w:tcPr>
          <w:p>
            <w:pPr>
              <w:pStyle w:val="Normal"/>
              <w:widowControl w:val="false"/>
              <w:suppressAutoHyphens w:val="true"/>
              <w:spacing w:before="0" w:after="0"/>
              <w:jc w:val="center"/>
              <w:rPr>
                <w:sz w:val="18"/>
                <w:szCs w:val="18"/>
              </w:rPr>
            </w:pPr>
            <w:r>
              <w:rPr>
                <w:rFonts w:eastAsia="Times New Roman" w:cs="Times New Roman"/>
                <w:kern w:val="0"/>
                <w:sz w:val="18"/>
                <w:szCs w:val="18"/>
                <w:lang w:val="ru-RU" w:eastAsia="ru-RU" w:bidi="ar-SA"/>
              </w:rPr>
              <w:t>2.</w:t>
            </w:r>
          </w:p>
        </w:tc>
        <w:tc>
          <w:tcPr>
            <w:tcW w:w="1808" w:type="dxa"/>
            <w:tcBorders/>
            <w:vAlign w:val="center"/>
          </w:tcPr>
          <w:p>
            <w:pPr>
              <w:pStyle w:val="Normal"/>
              <w:widowControl w:val="false"/>
              <w:suppressAutoHyphens w:val="true"/>
              <w:spacing w:before="0" w:after="0"/>
              <w:jc w:val="left"/>
              <w:rPr>
                <w:sz w:val="18"/>
                <w:szCs w:val="18"/>
              </w:rPr>
            </w:pPr>
            <w:r>
              <w:rPr>
                <w:rFonts w:eastAsia="Times New Roman" w:cs="Times New Roman"/>
                <w:kern w:val="0"/>
                <w:sz w:val="18"/>
                <w:szCs w:val="18"/>
                <w:lang w:val="ru-RU" w:eastAsia="ru-RU" w:bidi="ar-SA"/>
              </w:rPr>
              <w:t xml:space="preserve">Магистральные теплосети 2 очереди опорной базы УНП </w:t>
            </w:r>
          </w:p>
        </w:tc>
        <w:tc>
          <w:tcPr>
            <w:tcW w:w="1251" w:type="dxa"/>
            <w:vMerge w:val="continue"/>
            <w:tcBorders/>
            <w:vAlign w:val="center"/>
          </w:tcPr>
          <w:p>
            <w:pPr>
              <w:pStyle w:val="Normal"/>
              <w:widowControl w:val="false"/>
              <w:suppressAutoHyphens w:val="true"/>
              <w:spacing w:before="0" w:after="0"/>
              <w:jc w:val="center"/>
              <w:rPr>
                <w:sz w:val="18"/>
                <w:szCs w:val="18"/>
                <w:highlight w:val="yellow"/>
              </w:rPr>
            </w:pPr>
            <w:r>
              <w:rPr>
                <w:sz w:val="18"/>
                <w:szCs w:val="18"/>
                <w:highlight w:val="yellow"/>
              </w:rPr>
            </w:r>
          </w:p>
        </w:tc>
        <w:tc>
          <w:tcPr>
            <w:tcW w:w="1669" w:type="dxa"/>
            <w:tcBorders/>
            <w:vAlign w:val="center"/>
          </w:tcPr>
          <w:p>
            <w:pPr>
              <w:pStyle w:val="Normal"/>
              <w:widowControl w:val="false"/>
              <w:suppressAutoHyphens w:val="true"/>
              <w:spacing w:before="0" w:after="0"/>
              <w:jc w:val="center"/>
              <w:rPr>
                <w:sz w:val="18"/>
                <w:szCs w:val="18"/>
                <w:highlight w:val="yellow"/>
              </w:rPr>
            </w:pPr>
            <w:r>
              <w:rPr>
                <w:rFonts w:eastAsia="Times New Roman" w:cs="Times New Roman"/>
                <w:kern w:val="0"/>
                <w:sz w:val="18"/>
                <w:szCs w:val="18"/>
                <w:lang w:val="ru-RU" w:eastAsia="ru-RU" w:bidi="ar-SA"/>
              </w:rPr>
              <w:t>28:03:020003:520</w:t>
            </w:r>
          </w:p>
        </w:tc>
        <w:tc>
          <w:tcPr>
            <w:tcW w:w="1947" w:type="dxa"/>
            <w:tcBorders/>
            <w:vAlign w:val="center"/>
          </w:tcPr>
          <w:p>
            <w:pPr>
              <w:pStyle w:val="Normal"/>
              <w:widowControl w:val="false"/>
              <w:suppressAutoHyphens w:val="true"/>
              <w:spacing w:before="0" w:after="0"/>
              <w:jc w:val="center"/>
              <w:rPr>
                <w:sz w:val="18"/>
                <w:szCs w:val="18"/>
                <w:highlight w:val="yellow"/>
              </w:rPr>
            </w:pPr>
            <w:r>
              <w:rPr>
                <w:rFonts w:eastAsia="Times New Roman" w:cs="Times New Roman"/>
                <w:kern w:val="0"/>
                <w:sz w:val="18"/>
                <w:szCs w:val="18"/>
                <w:lang w:val="ru-RU" w:eastAsia="ru-RU" w:bidi="ar-SA"/>
              </w:rPr>
              <w:t>28:03:020003:520-28/055/2021-1 от 24.12.2021</w:t>
            </w:r>
          </w:p>
        </w:tc>
        <w:tc>
          <w:tcPr>
            <w:tcW w:w="1946" w:type="dxa"/>
            <w:vMerge w:val="continue"/>
            <w:tcBorders/>
            <w:vAlign w:val="center"/>
          </w:tcPr>
          <w:p>
            <w:pPr>
              <w:pStyle w:val="Normal"/>
              <w:widowControl w:val="false"/>
              <w:suppressAutoHyphens w:val="true"/>
              <w:spacing w:before="0" w:after="0"/>
              <w:jc w:val="center"/>
              <w:rPr>
                <w:sz w:val="18"/>
                <w:szCs w:val="18"/>
                <w:highlight w:val="yellow"/>
              </w:rPr>
            </w:pPr>
            <w:r>
              <w:rPr>
                <w:sz w:val="18"/>
                <w:szCs w:val="18"/>
                <w:highlight w:val="yellow"/>
              </w:rPr>
            </w:r>
          </w:p>
        </w:tc>
        <w:tc>
          <w:tcPr>
            <w:tcW w:w="233" w:type="dxa"/>
            <w:gridSpan w:val="2"/>
            <w:tcBorders>
              <w:top w:val="nil"/>
              <w:left w:val="nil"/>
              <w:bottom w:val="nil"/>
              <w:right w:val="nil"/>
            </w:tcBorders>
          </w:tcPr>
          <w:p>
            <w:pPr>
              <w:pStyle w:val="Normal"/>
              <w:widowControl w:val="false"/>
              <w:suppressAutoHyphens w:val="true"/>
              <w:spacing w:before="120" w:after="0"/>
              <w:rPr>
                <w:sz w:val="18"/>
                <w:szCs w:val="18"/>
              </w:rPr>
            </w:pPr>
            <w:r>
              <w:rPr>
                <w:sz w:val="18"/>
                <w:szCs w:val="18"/>
              </w:rPr>
            </w:r>
          </w:p>
        </w:tc>
      </w:tr>
      <w:tr>
        <w:trPr/>
        <w:tc>
          <w:tcPr>
            <w:tcW w:w="727" w:type="dxa"/>
            <w:tcBorders/>
            <w:vAlign w:val="center"/>
          </w:tcPr>
          <w:p>
            <w:pPr>
              <w:pStyle w:val="Normal"/>
              <w:widowControl w:val="false"/>
              <w:suppressAutoHyphens w:val="true"/>
              <w:spacing w:before="0" w:after="0"/>
              <w:jc w:val="center"/>
              <w:rPr>
                <w:sz w:val="18"/>
                <w:szCs w:val="18"/>
              </w:rPr>
            </w:pPr>
            <w:r>
              <w:rPr>
                <w:rFonts w:eastAsia="Times New Roman" w:cs="Times New Roman"/>
                <w:kern w:val="0"/>
                <w:sz w:val="18"/>
                <w:szCs w:val="18"/>
                <w:lang w:val="ru-RU" w:eastAsia="ru-RU" w:bidi="ar-SA"/>
              </w:rPr>
              <w:t>3.</w:t>
            </w:r>
          </w:p>
        </w:tc>
        <w:tc>
          <w:tcPr>
            <w:tcW w:w="1808" w:type="dxa"/>
            <w:tcBorders/>
            <w:vAlign w:val="center"/>
          </w:tcPr>
          <w:p>
            <w:pPr>
              <w:pStyle w:val="Normal"/>
              <w:widowControl w:val="false"/>
              <w:suppressAutoHyphens w:val="true"/>
              <w:spacing w:before="0" w:after="0"/>
              <w:jc w:val="left"/>
              <w:rPr>
                <w:sz w:val="18"/>
                <w:szCs w:val="18"/>
              </w:rPr>
            </w:pPr>
            <w:r>
              <w:rPr>
                <w:rFonts w:eastAsia="Times New Roman" w:cs="Times New Roman"/>
                <w:kern w:val="0"/>
                <w:sz w:val="18"/>
                <w:szCs w:val="18"/>
                <w:lang w:val="ru-RU" w:eastAsia="ru-RU" w:bidi="ar-SA"/>
              </w:rPr>
              <w:t xml:space="preserve">Тепловодосети наружные опорной базы </w:t>
            </w:r>
          </w:p>
        </w:tc>
        <w:tc>
          <w:tcPr>
            <w:tcW w:w="1251" w:type="dxa"/>
            <w:vMerge w:val="continue"/>
            <w:tcBorders/>
            <w:vAlign w:val="center"/>
          </w:tcPr>
          <w:p>
            <w:pPr>
              <w:pStyle w:val="Normal"/>
              <w:widowControl w:val="false"/>
              <w:suppressAutoHyphens w:val="true"/>
              <w:spacing w:before="0" w:after="0"/>
              <w:jc w:val="center"/>
              <w:rPr>
                <w:sz w:val="18"/>
                <w:szCs w:val="18"/>
                <w:highlight w:val="yellow"/>
              </w:rPr>
            </w:pPr>
            <w:r>
              <w:rPr>
                <w:sz w:val="18"/>
                <w:szCs w:val="18"/>
                <w:highlight w:val="yellow"/>
              </w:rPr>
            </w:r>
          </w:p>
        </w:tc>
        <w:tc>
          <w:tcPr>
            <w:tcW w:w="1669" w:type="dxa"/>
            <w:tcBorders/>
            <w:vAlign w:val="center"/>
          </w:tcPr>
          <w:p>
            <w:pPr>
              <w:pStyle w:val="Normal"/>
              <w:widowControl w:val="false"/>
              <w:suppressAutoHyphens w:val="true"/>
              <w:spacing w:before="0" w:after="0"/>
              <w:jc w:val="center"/>
              <w:rPr>
                <w:sz w:val="18"/>
                <w:szCs w:val="18"/>
                <w:highlight w:val="yellow"/>
              </w:rPr>
            </w:pPr>
            <w:r>
              <w:rPr>
                <w:rFonts w:eastAsia="Times New Roman" w:cs="Times New Roman"/>
                <w:kern w:val="0"/>
                <w:sz w:val="18"/>
                <w:szCs w:val="18"/>
                <w:lang w:val="ru-RU" w:eastAsia="ru-RU" w:bidi="ar-SA"/>
              </w:rPr>
              <w:t>28:03:020003:521</w:t>
            </w:r>
          </w:p>
        </w:tc>
        <w:tc>
          <w:tcPr>
            <w:tcW w:w="1947" w:type="dxa"/>
            <w:tcBorders/>
            <w:vAlign w:val="center"/>
          </w:tcPr>
          <w:p>
            <w:pPr>
              <w:pStyle w:val="Normal"/>
              <w:widowControl w:val="false"/>
              <w:suppressAutoHyphens w:val="true"/>
              <w:spacing w:before="0" w:after="0"/>
              <w:jc w:val="center"/>
              <w:rPr>
                <w:sz w:val="18"/>
                <w:szCs w:val="18"/>
                <w:highlight w:val="yellow"/>
              </w:rPr>
            </w:pPr>
            <w:r>
              <w:rPr>
                <w:rFonts w:eastAsia="Times New Roman" w:cs="Times New Roman"/>
                <w:kern w:val="0"/>
                <w:sz w:val="18"/>
                <w:szCs w:val="18"/>
                <w:lang w:val="ru-RU" w:eastAsia="ru-RU" w:bidi="ar-SA"/>
              </w:rPr>
              <w:t>28:03:020003:521-28/055/2021-1 от 24.12.2021</w:t>
            </w:r>
          </w:p>
        </w:tc>
        <w:tc>
          <w:tcPr>
            <w:tcW w:w="1946" w:type="dxa"/>
            <w:vMerge w:val="continue"/>
            <w:tcBorders/>
            <w:vAlign w:val="center"/>
          </w:tcPr>
          <w:p>
            <w:pPr>
              <w:pStyle w:val="Normal"/>
              <w:widowControl w:val="false"/>
              <w:suppressAutoHyphens w:val="true"/>
              <w:spacing w:before="0" w:after="0"/>
              <w:jc w:val="center"/>
              <w:rPr>
                <w:sz w:val="18"/>
                <w:szCs w:val="18"/>
                <w:highlight w:val="yellow"/>
              </w:rPr>
            </w:pPr>
            <w:r>
              <w:rPr>
                <w:sz w:val="18"/>
                <w:szCs w:val="18"/>
                <w:highlight w:val="yellow"/>
              </w:rPr>
            </w:r>
          </w:p>
        </w:tc>
        <w:tc>
          <w:tcPr>
            <w:tcW w:w="233" w:type="dxa"/>
            <w:gridSpan w:val="2"/>
            <w:tcBorders>
              <w:top w:val="nil"/>
              <w:left w:val="nil"/>
              <w:bottom w:val="nil"/>
              <w:right w:val="nil"/>
            </w:tcBorders>
          </w:tcPr>
          <w:p>
            <w:pPr>
              <w:pStyle w:val="Normal"/>
              <w:widowControl w:val="false"/>
              <w:suppressAutoHyphens w:val="true"/>
              <w:spacing w:before="120" w:after="0"/>
              <w:rPr>
                <w:sz w:val="18"/>
                <w:szCs w:val="18"/>
              </w:rPr>
            </w:pPr>
            <w:r>
              <w:rPr>
                <w:sz w:val="18"/>
                <w:szCs w:val="18"/>
              </w:rPr>
            </w:r>
          </w:p>
        </w:tc>
      </w:tr>
    </w:tbl>
    <w:p>
      <w:pPr>
        <w:pStyle w:val="Style23"/>
        <w:numPr>
          <w:ilvl w:val="0"/>
          <w:numId w:val="0"/>
        </w:numPr>
        <w:tabs>
          <w:tab w:val="left" w:pos="3828" w:leader="none"/>
          <w:tab w:val="left" w:pos="4962" w:leader="none"/>
        </w:tabs>
        <w:spacing w:before="0" w:after="80"/>
        <w:ind w:left="1134" w:hanging="0"/>
        <w:rPr>
          <w:sz w:val="18"/>
          <w:szCs w:val="18"/>
        </w:rPr>
      </w:pPr>
      <w:r>
        <w:rPr>
          <w:sz w:val="18"/>
          <w:szCs w:val="18"/>
        </w:rPr>
      </w:r>
    </w:p>
    <w:p>
      <w:pPr>
        <w:pStyle w:val="Style23"/>
        <w:numPr>
          <w:ilvl w:val="2"/>
          <w:numId w:val="54"/>
        </w:numPr>
        <w:tabs>
          <w:tab w:val="left" w:pos="1560" w:leader="none"/>
          <w:tab w:val="left" w:pos="3828" w:leader="none"/>
          <w:tab w:val="left" w:pos="4962" w:leader="none"/>
        </w:tabs>
        <w:spacing w:before="0" w:after="80"/>
        <w:ind w:left="1134" w:hanging="1134"/>
        <w:rPr/>
      </w:pPr>
      <w:r>
        <w:rPr/>
        <w:t>Объекты расположены на земельных участках:</w:t>
      </w:r>
    </w:p>
    <w:tbl>
      <w:tblPr>
        <w:tblW w:w="9918"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693"/>
        <w:gridCol w:w="1136"/>
        <w:gridCol w:w="1136"/>
        <w:gridCol w:w="1416"/>
        <w:gridCol w:w="1703"/>
        <w:gridCol w:w="1557"/>
        <w:gridCol w:w="1276"/>
      </w:tblGrid>
      <w:tr>
        <w:trPr>
          <w:trHeight w:val="1174" w:hRule="atLeast"/>
        </w:trPr>
        <w:tc>
          <w:tcPr>
            <w:tcW w:w="1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Адрес земельного участка</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Площадь земельного участка, кв.м</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Категория земель</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Разрешенное использование</w:t>
            </w:r>
          </w:p>
        </w:tc>
        <w:tc>
          <w:tcPr>
            <w:tcW w:w="17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 xml:space="preserve">Кадастровый </w:t>
            </w:r>
          </w:p>
          <w:p>
            <w:pPr>
              <w:pStyle w:val="Normal"/>
              <w:widowControl w:val="false"/>
              <w:jc w:val="center"/>
              <w:rPr>
                <w:sz w:val="18"/>
                <w:szCs w:val="18"/>
              </w:rPr>
            </w:pPr>
            <w:r>
              <w:rPr>
                <w:sz w:val="18"/>
                <w:szCs w:val="18"/>
              </w:rPr>
              <w:t>Номер ЗУ</w:t>
            </w:r>
          </w:p>
        </w:tc>
        <w:tc>
          <w:tcPr>
            <w:tcW w:w="1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Номер и дата государственной регистрации права</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Срок действия договора аренды</w:t>
            </w:r>
          </w:p>
        </w:tc>
      </w:tr>
      <w:tr>
        <w:trPr>
          <w:trHeight w:val="1238" w:hRule="atLeast"/>
        </w:trPr>
        <w:tc>
          <w:tcPr>
            <w:tcW w:w="16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jc w:val="center"/>
              <w:rPr>
                <w:sz w:val="18"/>
                <w:szCs w:val="18"/>
              </w:rPr>
            </w:pPr>
            <w:r>
              <w:rPr>
                <w:sz w:val="18"/>
                <w:szCs w:val="18"/>
              </w:rPr>
              <w:t xml:space="preserve">Амурская область, г.Зея </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415</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jc w:val="center"/>
              <w:rPr>
                <w:sz w:val="18"/>
                <w:szCs w:val="18"/>
              </w:rPr>
            </w:pPr>
            <w:r>
              <w:rPr>
                <w:sz w:val="18"/>
                <w:szCs w:val="18"/>
              </w:rPr>
              <w:t>земли населенных пунктов</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Для эксплуатации теплотрассы к базе КСМТ</w:t>
            </w:r>
          </w:p>
        </w:tc>
        <w:tc>
          <w:tcPr>
            <w:tcW w:w="17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jc w:val="center"/>
              <w:rPr>
                <w:sz w:val="18"/>
                <w:szCs w:val="18"/>
              </w:rPr>
            </w:pPr>
            <w:r>
              <w:rPr>
                <w:sz w:val="18"/>
                <w:szCs w:val="18"/>
              </w:rPr>
              <w:t>28:03:020003:52</w:t>
            </w:r>
          </w:p>
        </w:tc>
        <w:tc>
          <w:tcPr>
            <w:tcW w:w="1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highlight w:val="yellow"/>
              </w:rPr>
            </w:pPr>
            <w:r>
              <w:rPr>
                <w:sz w:val="18"/>
                <w:szCs w:val="18"/>
              </w:rPr>
              <w:t>28:03:020003:52-28/001/2017-8 от 06.09.2017</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с 02.08.2017</w:t>
            </w:r>
          </w:p>
          <w:p>
            <w:pPr>
              <w:pStyle w:val="Normal"/>
              <w:widowControl w:val="false"/>
              <w:jc w:val="center"/>
              <w:rPr>
                <w:sz w:val="18"/>
                <w:szCs w:val="18"/>
                <w:highlight w:val="yellow"/>
              </w:rPr>
            </w:pPr>
            <w:r>
              <w:rPr>
                <w:sz w:val="18"/>
                <w:szCs w:val="18"/>
              </w:rPr>
              <w:t xml:space="preserve"> </w:t>
            </w:r>
            <w:r>
              <w:rPr>
                <w:sz w:val="18"/>
                <w:szCs w:val="18"/>
              </w:rPr>
              <w:t>по 01.08.2066</w:t>
            </w:r>
          </w:p>
        </w:tc>
      </w:tr>
      <w:tr>
        <w:trPr>
          <w:trHeight w:val="1174" w:hRule="atLeast"/>
        </w:trPr>
        <w:tc>
          <w:tcPr>
            <w:tcW w:w="16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 xml:space="preserve">Амурская область, г.Зея </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1174</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земли населенных пунктов</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Для эксплуатации наземной теплотрассы к базе оборудования</w:t>
            </w:r>
          </w:p>
        </w:tc>
        <w:tc>
          <w:tcPr>
            <w:tcW w:w="17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28:03:000000:13</w:t>
            </w:r>
          </w:p>
        </w:tc>
        <w:tc>
          <w:tcPr>
            <w:tcW w:w="1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28:03:000000:13-28/001/2017-8 от 06.09.2017</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с 02.08.2017</w:t>
            </w:r>
          </w:p>
          <w:p>
            <w:pPr>
              <w:pStyle w:val="Normal"/>
              <w:widowControl w:val="false"/>
              <w:jc w:val="center"/>
              <w:rPr>
                <w:sz w:val="18"/>
                <w:szCs w:val="18"/>
              </w:rPr>
            </w:pPr>
            <w:r>
              <w:rPr>
                <w:sz w:val="18"/>
                <w:szCs w:val="18"/>
              </w:rPr>
              <w:t xml:space="preserve"> </w:t>
            </w:r>
            <w:r>
              <w:rPr>
                <w:sz w:val="18"/>
                <w:szCs w:val="18"/>
              </w:rPr>
              <w:t>по 01.08.2066</w:t>
            </w:r>
          </w:p>
        </w:tc>
      </w:tr>
      <w:tr>
        <w:trPr>
          <w:trHeight w:val="1238" w:hRule="atLeast"/>
        </w:trPr>
        <w:tc>
          <w:tcPr>
            <w:tcW w:w="16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jc w:val="center"/>
              <w:rPr>
                <w:sz w:val="18"/>
                <w:szCs w:val="18"/>
              </w:rPr>
            </w:pPr>
            <w:r>
              <w:rPr>
                <w:sz w:val="18"/>
                <w:szCs w:val="18"/>
              </w:rPr>
              <w:t xml:space="preserve">Амурская область, г.Зея </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235</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jc w:val="center"/>
              <w:rPr>
                <w:sz w:val="18"/>
                <w:szCs w:val="18"/>
              </w:rPr>
            </w:pPr>
            <w:r>
              <w:rPr>
                <w:sz w:val="18"/>
                <w:szCs w:val="18"/>
              </w:rPr>
              <w:t>земли населенных пунктов</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Для эксплуатации теплотрассы к базе УНП</w:t>
            </w:r>
          </w:p>
        </w:tc>
        <w:tc>
          <w:tcPr>
            <w:tcW w:w="17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jc w:val="center"/>
              <w:rPr>
                <w:sz w:val="18"/>
                <w:szCs w:val="18"/>
              </w:rPr>
            </w:pPr>
            <w:r>
              <w:rPr>
                <w:sz w:val="18"/>
                <w:szCs w:val="18"/>
              </w:rPr>
              <w:t>28:03:000000:12</w:t>
            </w:r>
          </w:p>
        </w:tc>
        <w:tc>
          <w:tcPr>
            <w:tcW w:w="1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highlight w:val="yellow"/>
              </w:rPr>
            </w:pPr>
            <w:r>
              <w:rPr>
                <w:sz w:val="18"/>
                <w:szCs w:val="18"/>
              </w:rPr>
              <w:t>28:03:000000:12-28/001/2017-9 от 06.09.2017</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120" w:after="0"/>
              <w:jc w:val="center"/>
              <w:rPr>
                <w:sz w:val="18"/>
                <w:szCs w:val="18"/>
              </w:rPr>
            </w:pPr>
            <w:r>
              <w:rPr>
                <w:sz w:val="18"/>
                <w:szCs w:val="18"/>
              </w:rPr>
              <w:t>с 02.08.2017</w:t>
            </w:r>
          </w:p>
          <w:p>
            <w:pPr>
              <w:pStyle w:val="Normal"/>
              <w:widowControl w:val="false"/>
              <w:jc w:val="center"/>
              <w:rPr>
                <w:sz w:val="18"/>
                <w:szCs w:val="18"/>
                <w:highlight w:val="yellow"/>
              </w:rPr>
            </w:pPr>
            <w:r>
              <w:rPr>
                <w:sz w:val="18"/>
                <w:szCs w:val="18"/>
              </w:rPr>
              <w:t xml:space="preserve"> </w:t>
            </w:r>
            <w:r>
              <w:rPr>
                <w:sz w:val="18"/>
                <w:szCs w:val="18"/>
              </w:rPr>
              <w:t>по 01.08.2066</w:t>
            </w:r>
          </w:p>
        </w:tc>
      </w:tr>
    </w:tbl>
    <w:p>
      <w:pPr>
        <w:pStyle w:val="Style23"/>
        <w:numPr>
          <w:ilvl w:val="2"/>
          <w:numId w:val="3"/>
        </w:numPr>
        <w:tabs>
          <w:tab w:val="left" w:pos="3828" w:leader="none"/>
          <w:tab w:val="left" w:pos="4962" w:leader="none"/>
        </w:tabs>
        <w:ind w:left="1134" w:hanging="1134"/>
        <w:rPr/>
      </w:pPr>
      <w:r>
        <w:rPr/>
        <w:t>Информация о технических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 о продаже.</w:t>
      </w:r>
    </w:p>
    <w:p>
      <w:pPr>
        <w:pStyle w:val="Heading2"/>
        <w:numPr>
          <w:ilvl w:val="1"/>
          <w:numId w:val="3"/>
        </w:numPr>
        <w:ind w:left="1134" w:hanging="1134"/>
        <w:rPr>
          <w:b w:val="false"/>
          <w:sz w:val="26"/>
        </w:rPr>
      </w:pPr>
      <w:bookmarkStart w:id="113" w:name="_Toc43469231"/>
      <w:r>
        <w:rPr>
          <w:b w:val="false"/>
          <w:sz w:val="26"/>
        </w:rPr>
        <w:t>Порядок ознакомления с предметом продажи</w:t>
      </w:r>
      <w:bookmarkEnd w:id="113"/>
      <w:r>
        <w:rPr>
          <w:b w:val="false"/>
          <w:sz w:val="26"/>
        </w:rPr>
        <w:t xml:space="preserve"> </w:t>
      </w:r>
    </w:p>
    <w:p>
      <w:pPr>
        <w:pStyle w:val="Style23"/>
        <w:numPr>
          <w:ilvl w:val="2"/>
          <w:numId w:val="3"/>
        </w:numPr>
        <w:tabs>
          <w:tab w:val="left" w:pos="3828" w:leader="none"/>
          <w:tab w:val="left" w:pos="4962" w:leader="none"/>
        </w:tabs>
        <w:ind w:left="1134" w:hanging="1134"/>
        <w:rPr/>
      </w:pPr>
      <w:r>
        <w:rPr/>
        <w:t>Возможность ознакомления с предметом продажи и с технической документацией на него (при наличии) предоставляется Организатором продажи любому лицу, заинтересованному в приобретении предмета продажи.</w:t>
      </w:r>
    </w:p>
    <w:p>
      <w:pPr>
        <w:pStyle w:val="Style23"/>
        <w:numPr>
          <w:ilvl w:val="2"/>
          <w:numId w:val="55"/>
        </w:numPr>
        <w:tabs>
          <w:tab w:val="left" w:pos="3828" w:leader="none"/>
          <w:tab w:val="left" w:pos="4962" w:leader="none"/>
        </w:tabs>
        <w:snapToGrid w:val="false"/>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_Ref249785568 \r \h </w:instrText>
      </w:r>
      <w:r>
        <w:rPr/>
        <w:fldChar w:fldCharType="separate"/>
      </w:r>
      <w:r>
        <w:rPr/>
        <w:t>1.2.1</w:t>
      </w:r>
      <w:r>
        <w:rPr/>
        <w:fldChar w:fldCharType="end"/>
      </w:r>
      <w:r>
        <w:rPr/>
        <w:t xml:space="preserve"> Документации о продаже, ежедневно с 13.00 до 17.00 часов (время местное), кроме выходных и праздничных дней.</w:t>
      </w:r>
    </w:p>
    <w:p>
      <w:pPr>
        <w:pStyle w:val="Style23"/>
        <w:numPr>
          <w:ilvl w:val="2"/>
          <w:numId w:val="3"/>
        </w:numPr>
        <w:tabs>
          <w:tab w:val="left" w:pos="3828" w:leader="none"/>
          <w:tab w:val="left" w:pos="4962"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Документации о продаже. Запрос направляется на адрес электронной почты контактного лица Организатора, указанный в п. </w:t>
      </w:r>
      <w:r>
        <w:rPr/>
        <w:fldChar w:fldCharType="begin"/>
      </w:r>
      <w:r>
        <w:rPr/>
        <w:instrText xml:space="preserve"> REF _Ref384115792 \r \h </w:instrText>
      </w:r>
      <w:r>
        <w:rPr/>
        <w:fldChar w:fldCharType="separate"/>
      </w:r>
      <w:r>
        <w:rPr/>
        <w:t>1.2.7</w:t>
      </w:r>
      <w:r>
        <w:rPr/>
        <w:fldChar w:fldCharType="end"/>
      </w:r>
      <w:r>
        <w:rPr/>
        <w:t xml:space="preserve"> Документации о продаже.</w:t>
      </w:r>
    </w:p>
    <w:p>
      <w:pPr>
        <w:pStyle w:val="Style23"/>
        <w:numPr>
          <w:ilvl w:val="2"/>
          <w:numId w:val="3"/>
        </w:numPr>
        <w:tabs>
          <w:tab w:val="left" w:pos="3828" w:leader="none"/>
          <w:tab w:val="left" w:pos="4962" w:leader="none"/>
        </w:tabs>
        <w:ind w:left="1134" w:hanging="1134"/>
        <w:rPr/>
      </w:pPr>
      <w:r>
        <w:rPr/>
        <w:t>В запросе в обязательном порядке должно быть указано:</w:t>
      </w:r>
    </w:p>
    <w:p>
      <w:pPr>
        <w:pStyle w:val="ListParagraph"/>
        <w:numPr>
          <w:ilvl w:val="0"/>
          <w:numId w:val="10"/>
        </w:numPr>
        <w:spacing w:lineRule="auto" w:line="276"/>
        <w:ind w:left="1985" w:hanging="360"/>
        <w:jc w:val="both"/>
        <w:rPr>
          <w:rFonts w:ascii="Times New Roman" w:hAnsi="Times New Roman"/>
          <w:sz w:val="26"/>
        </w:rPr>
      </w:pPr>
      <w:r>
        <w:rPr>
          <w:rFonts w:ascii="Times New Roman" w:hAnsi="Times New Roman"/>
          <w:sz w:val="26"/>
        </w:rPr>
        <w:t>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w:t>
      </w:r>
    </w:p>
    <w:p>
      <w:pPr>
        <w:pStyle w:val="ListParagraph"/>
        <w:numPr>
          <w:ilvl w:val="0"/>
          <w:numId w:val="10"/>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pPr>
        <w:pStyle w:val="Heading1"/>
        <w:numPr>
          <w:ilvl w:val="0"/>
          <w:numId w:val="3"/>
        </w:numPr>
        <w:jc w:val="center"/>
        <w:rPr>
          <w:rFonts w:ascii="Times New Roman" w:hAnsi="Times New Roman"/>
          <w:sz w:val="28"/>
          <w:szCs w:val="28"/>
        </w:rPr>
      </w:pPr>
      <w:bookmarkStart w:id="114" w:name="_Toc43469232"/>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06"/>
      <w:bookmarkEnd w:id="107"/>
      <w:r>
        <w:rPr>
          <w:rFonts w:ascii="Times New Roman" w:hAnsi="Times New Roman"/>
          <w:sz w:val="28"/>
          <w:szCs w:val="28"/>
        </w:rPr>
        <w:t>АУКЦИОНА</w:t>
      </w:r>
      <w:bookmarkEnd w:id="114"/>
    </w:p>
    <w:p>
      <w:pPr>
        <w:pStyle w:val="Heading2"/>
        <w:numPr>
          <w:ilvl w:val="1"/>
          <w:numId w:val="3"/>
        </w:numPr>
        <w:ind w:left="1134" w:hanging="1134"/>
        <w:rPr>
          <w:sz w:val="26"/>
        </w:rPr>
      </w:pPr>
      <w:bookmarkStart w:id="115" w:name="_Toc43469233"/>
      <w:bookmarkStart w:id="116" w:name="_Toc90385071"/>
      <w:bookmarkStart w:id="117" w:name="_Ref93090116"/>
      <w:bookmarkStart w:id="118" w:name="_Ref324341528"/>
      <w:bookmarkStart w:id="119" w:name="_Ref384627521"/>
      <w:r>
        <w:rPr>
          <w:sz w:val="26"/>
        </w:rPr>
        <w:t xml:space="preserve">Требования к Участникам </w:t>
      </w:r>
      <w:bookmarkEnd w:id="116"/>
      <w:bookmarkEnd w:id="117"/>
      <w:bookmarkEnd w:id="118"/>
      <w:bookmarkEnd w:id="119"/>
      <w:r>
        <w:rPr>
          <w:sz w:val="26"/>
        </w:rPr>
        <w:t>аукциона</w:t>
      </w:r>
      <w:bookmarkEnd w:id="115"/>
    </w:p>
    <w:p>
      <w:pPr>
        <w:pStyle w:val="Style23"/>
        <w:numPr>
          <w:ilvl w:val="2"/>
          <w:numId w:val="3"/>
        </w:numPr>
        <w:tabs>
          <w:tab w:val="left" w:pos="3828" w:leader="none"/>
          <w:tab w:val="left" w:pos="4962" w:leader="none"/>
        </w:tabs>
        <w:ind w:left="1134" w:hanging="1134"/>
        <w:rPr/>
      </w:pPr>
      <w:bookmarkStart w:id="120" w:name="_Hlk523931983"/>
      <w:bookmarkEnd w:id="120"/>
      <w:r>
        <w:rPr/>
        <w:t>Чтобы претендовать на победу в аукционе и получение права заключить Договор с Продавцом, Заявитель в целом должен отвечать требованиям, установленным в Документации о продаже.</w:t>
      </w:r>
    </w:p>
    <w:p>
      <w:pPr>
        <w:pStyle w:val="Style23"/>
        <w:numPr>
          <w:ilvl w:val="2"/>
          <w:numId w:val="3"/>
        </w:numPr>
        <w:tabs>
          <w:tab w:val="left" w:pos="3828" w:leader="none"/>
          <w:tab w:val="left" w:pos="4962" w:leader="none"/>
        </w:tabs>
        <w:ind w:left="1134" w:hanging="1134"/>
        <w:rPr/>
      </w:pPr>
      <w:r>
        <w:rPr/>
        <w:t xml:space="preserve">Полный перечень требований к участникам указан в </w:t>
      </w:r>
      <w:bookmarkStart w:id="121" w:name="_Hlt311053359"/>
      <w:bookmarkEnd w:id="121"/>
      <w:r>
        <w:rPr/>
        <w:t>Приложении № 3 к Документации о продаже.</w:t>
      </w:r>
    </w:p>
    <w:p>
      <w:pPr>
        <w:pStyle w:val="Style23"/>
        <w:numPr>
          <w:ilvl w:val="2"/>
          <w:numId w:val="3"/>
        </w:numPr>
        <w:tabs>
          <w:tab w:val="left" w:pos="3828" w:leader="none"/>
          <w:tab w:val="left" w:pos="4962" w:leader="none"/>
        </w:tabs>
        <w:ind w:left="1134" w:hanging="1134"/>
        <w:rPr/>
      </w:pPr>
      <w:r>
        <w:rPr/>
        <w:t>Для подтверждения соответствия установленным требованиям Заявитель обязан приложить в составе заявки документы, перечисленные в Приложении № 3 к Документации о продаже.</w:t>
      </w:r>
    </w:p>
    <w:p>
      <w:pPr>
        <w:pStyle w:val="Heading1"/>
        <w:numPr>
          <w:ilvl w:val="0"/>
          <w:numId w:val="3"/>
        </w:numPr>
        <w:jc w:val="center"/>
        <w:rPr>
          <w:rFonts w:ascii="Times New Roman" w:hAnsi="Times New Roman"/>
          <w:sz w:val="28"/>
          <w:szCs w:val="28"/>
        </w:rPr>
      </w:pPr>
      <w:bookmarkStart w:id="122" w:name="_Ref514453352"/>
      <w:bookmarkStart w:id="123" w:name="_Toc43469234"/>
      <w:bookmarkStart w:id="124" w:name="_Ref55300680"/>
      <w:bookmarkStart w:id="125" w:name="_Toc55305378"/>
      <w:bookmarkStart w:id="126" w:name="_Toc57314640"/>
      <w:bookmarkStart w:id="127" w:name="_Toc69728963"/>
      <w:bookmarkStart w:id="128" w:name="_Toc418862919"/>
      <w:bookmarkStart w:id="129" w:name="_Toc418863076"/>
      <w:bookmarkStart w:id="130" w:name="_Toc514455549"/>
      <w:bookmarkStart w:id="131" w:name="_Ref324335676"/>
      <w:bookmarkEnd w:id="128"/>
      <w:bookmarkEnd w:id="129"/>
      <w:bookmarkEnd w:id="130"/>
      <w:bookmarkEnd w:id="131"/>
      <w:r>
        <w:rPr>
          <w:rFonts w:ascii="Times New Roman" w:hAnsi="Times New Roman"/>
          <w:sz w:val="28"/>
          <w:szCs w:val="28"/>
        </w:rPr>
        <w:t>ПОРЯДОК ПРОВЕДЕНИЯ АУКЦИОНА. ИНСТРУКЦИИ ПО ПОДГОТОВКЕ ЗАЯВОК</w:t>
      </w:r>
      <w:bookmarkEnd w:id="122"/>
      <w:bookmarkEnd w:id="123"/>
      <w:bookmarkEnd w:id="124"/>
      <w:bookmarkEnd w:id="125"/>
      <w:bookmarkEnd w:id="126"/>
      <w:bookmarkEnd w:id="127"/>
    </w:p>
    <w:p>
      <w:pPr>
        <w:pStyle w:val="Heading2"/>
        <w:numPr>
          <w:ilvl w:val="1"/>
          <w:numId w:val="3"/>
        </w:numPr>
        <w:ind w:left="1134" w:hanging="1134"/>
        <w:rPr>
          <w:sz w:val="26"/>
        </w:rPr>
      </w:pPr>
      <w:bookmarkStart w:id="132" w:name="_Toc43469235"/>
      <w:bookmarkStart w:id="133" w:name="_Ref440305687"/>
      <w:bookmarkStart w:id="134" w:name="_Toc518119235"/>
      <w:bookmarkStart w:id="135" w:name="_Toc55193148"/>
      <w:bookmarkStart w:id="136" w:name="_Toc55285342"/>
      <w:bookmarkStart w:id="137" w:name="_Toc55305379"/>
      <w:bookmarkStart w:id="138" w:name="_Toc57314641"/>
      <w:bookmarkStart w:id="139" w:name="_Toc69728964"/>
      <w:bookmarkStart w:id="140" w:name="ИНСТРУКЦИИ"/>
      <w:bookmarkEnd w:id="140"/>
      <w:r>
        <w:rPr>
          <w:sz w:val="26"/>
        </w:rPr>
        <w:t xml:space="preserve">Общий порядок проведения </w:t>
      </w:r>
      <w:bookmarkEnd w:id="133"/>
      <w:bookmarkEnd w:id="134"/>
      <w:bookmarkEnd w:id="135"/>
      <w:bookmarkEnd w:id="136"/>
      <w:bookmarkEnd w:id="137"/>
      <w:bookmarkEnd w:id="138"/>
      <w:bookmarkEnd w:id="139"/>
      <w:r>
        <w:rPr>
          <w:sz w:val="26"/>
        </w:rPr>
        <w:t>аукциона</w:t>
      </w:r>
      <w:bookmarkEnd w:id="132"/>
    </w:p>
    <w:p>
      <w:pPr>
        <w:pStyle w:val="Style23"/>
        <w:numPr>
          <w:ilvl w:val="2"/>
          <w:numId w:val="3"/>
        </w:numPr>
        <w:tabs>
          <w:tab w:val="left" w:pos="3828" w:leader="none"/>
          <w:tab w:val="left" w:pos="4962" w:leader="none"/>
        </w:tabs>
        <w:ind w:left="1134" w:hanging="1134"/>
        <w:rPr/>
      </w:pPr>
      <w:r>
        <w:rPr/>
        <w:t>Аукцион проводится в следующем порядке:</w:t>
      </w:r>
    </w:p>
    <w:p>
      <w:pPr>
        <w:pStyle w:val="Style25"/>
        <w:numPr>
          <w:ilvl w:val="4"/>
          <w:numId w:val="3"/>
        </w:numPr>
        <w:tabs>
          <w:tab w:val="left" w:pos="1134" w:leader="none"/>
          <w:tab w:val="left" w:pos="4962" w:leader="none"/>
        </w:tabs>
        <w:ind w:left="1701" w:hanging="424"/>
        <w:rPr/>
      </w:pPr>
      <w:r>
        <w:rPr/>
        <w:t xml:space="preserve">Официальное размещение Извещения и Документации о продаже (подраздел </w:t>
      </w:r>
      <w:r>
        <w:rPr/>
        <w:fldChar w:fldCharType="begin"/>
      </w:r>
      <w:r>
        <w:rPr/>
        <w:instrText xml:space="preserve"> REF _Ref55280418 \r \h </w:instrText>
      </w:r>
      <w:r>
        <w:rPr/>
        <w:fldChar w:fldCharType="separate"/>
      </w:r>
      <w:r>
        <w:rPr/>
        <w:t>5.2</w:t>
      </w:r>
      <w:r>
        <w:rPr/>
        <w:fldChar w:fldCharType="end"/>
      </w:r>
      <w:r>
        <w:rPr/>
        <w:t xml:space="preserve"> Документации о продаже);</w:t>
      </w:r>
    </w:p>
    <w:p>
      <w:pPr>
        <w:pStyle w:val="Style25"/>
        <w:numPr>
          <w:ilvl w:val="4"/>
          <w:numId w:val="3"/>
        </w:numPr>
        <w:tabs>
          <w:tab w:val="left" w:pos="1134" w:leader="none"/>
          <w:tab w:val="left" w:pos="4962" w:leader="none"/>
        </w:tabs>
        <w:ind w:left="1701" w:hanging="424"/>
        <w:rPr/>
      </w:pPr>
      <w:r>
        <w:rPr/>
        <w:t xml:space="preserve">Разъяснение Организатором продажи Документации о продаже и внесение в нее изменений, если необходимо (подразделы </w:t>
      </w:r>
      <w:r>
        <w:rPr/>
        <w:fldChar w:fldCharType="begin"/>
      </w:r>
      <w:r>
        <w:rPr/>
        <w:instrText xml:space="preserve"> REF _Ref55280436 \r \h </w:instrText>
      </w:r>
      <w:r>
        <w:rPr/>
        <w:fldChar w:fldCharType="separate"/>
      </w:r>
      <w:r>
        <w:rPr/>
        <w:t>5.5</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 xml:space="preserve"> Документации о продаже);</w:t>
      </w:r>
    </w:p>
    <w:p>
      <w:pPr>
        <w:pStyle w:val="Style25"/>
        <w:numPr>
          <w:ilvl w:val="4"/>
          <w:numId w:val="3"/>
        </w:numPr>
        <w:tabs>
          <w:tab w:val="left" w:pos="1134" w:leader="none"/>
          <w:tab w:val="left" w:pos="4962" w:leader="none"/>
        </w:tabs>
        <w:ind w:left="1701" w:hanging="424"/>
        <w:rPr/>
      </w:pPr>
      <w:r>
        <w:rPr/>
        <w:t xml:space="preserve">Подготовка Заявителями своих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 xml:space="preserve"> Документации о продаже);</w:t>
      </w:r>
    </w:p>
    <w:p>
      <w:pPr>
        <w:pStyle w:val="Style25"/>
        <w:numPr>
          <w:ilvl w:val="4"/>
          <w:numId w:val="3"/>
        </w:numPr>
        <w:tabs>
          <w:tab w:val="left" w:pos="1134" w:leader="none"/>
          <w:tab w:val="left" w:pos="4962"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 xml:space="preserve"> Документации о продаже);</w:t>
      </w:r>
    </w:p>
    <w:p>
      <w:pPr>
        <w:pStyle w:val="Style25"/>
        <w:numPr>
          <w:ilvl w:val="4"/>
          <w:numId w:val="3"/>
        </w:numPr>
        <w:tabs>
          <w:tab w:val="left" w:pos="1134" w:leader="none"/>
          <w:tab w:val="left" w:pos="4962"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 xml:space="preserve"> Документации о продаже);</w:t>
      </w:r>
    </w:p>
    <w:p>
      <w:pPr>
        <w:pStyle w:val="Style25"/>
        <w:numPr>
          <w:ilvl w:val="4"/>
          <w:numId w:val="3"/>
        </w:numPr>
        <w:tabs>
          <w:tab w:val="left" w:pos="1134" w:leader="none"/>
          <w:tab w:val="left" w:pos="4962"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 xml:space="preserve"> Документации о продаже);</w:t>
      </w:r>
    </w:p>
    <w:p>
      <w:pPr>
        <w:pStyle w:val="Style25"/>
        <w:numPr>
          <w:ilvl w:val="4"/>
          <w:numId w:val="3"/>
        </w:numPr>
        <w:tabs>
          <w:tab w:val="left" w:pos="1134" w:leader="none"/>
          <w:tab w:val="left" w:pos="4962"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 xml:space="preserve"> Документации о продаже)</w:t>
      </w:r>
    </w:p>
    <w:p>
      <w:pPr>
        <w:pStyle w:val="Style25"/>
        <w:numPr>
          <w:ilvl w:val="4"/>
          <w:numId w:val="3"/>
        </w:numPr>
        <w:tabs>
          <w:tab w:val="left" w:pos="1134" w:leader="none"/>
          <w:tab w:val="left" w:pos="4962"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 xml:space="preserve"> Документации о продаже).</w:t>
      </w:r>
    </w:p>
    <w:p>
      <w:pPr>
        <w:pStyle w:val="Style23"/>
        <w:numPr>
          <w:ilvl w:val="2"/>
          <w:numId w:val="3"/>
        </w:numPr>
        <w:tabs>
          <w:tab w:val="left" w:pos="3828" w:leader="none"/>
          <w:tab w:val="left" w:pos="4962" w:leader="none"/>
        </w:tabs>
        <w:ind w:left="1134" w:hanging="1134"/>
        <w:rPr/>
      </w:pPr>
      <w:r>
        <w:rPr/>
        <w:t>Дополнительные условия и процедуры аукциона описаны в разделе 5 Документации о продаже.</w:t>
      </w:r>
    </w:p>
    <w:p>
      <w:pPr>
        <w:pStyle w:val="Heading2"/>
        <w:keepNext w:val="false"/>
        <w:widowControl w:val="false"/>
        <w:numPr>
          <w:ilvl w:val="1"/>
          <w:numId w:val="3"/>
        </w:numPr>
        <w:suppressAutoHyphens w:val="false"/>
        <w:ind w:left="1134" w:hanging="1134"/>
        <w:rPr>
          <w:sz w:val="26"/>
        </w:rPr>
      </w:pPr>
      <w:bookmarkStart w:id="141" w:name="_Toc43469236"/>
      <w:bookmarkStart w:id="142" w:name="_Ref55280418"/>
      <w:bookmarkStart w:id="143" w:name="_Toc55285343"/>
      <w:bookmarkStart w:id="144" w:name="_Toc55305380"/>
      <w:bookmarkStart w:id="145" w:name="_Toc57314642"/>
      <w:bookmarkStart w:id="146" w:name="_Toc69728965"/>
      <w:r>
        <w:rPr>
          <w:sz w:val="26"/>
        </w:rPr>
        <w:t>Официальное размещение Извещения</w:t>
      </w:r>
      <w:bookmarkEnd w:id="142"/>
      <w:bookmarkEnd w:id="143"/>
      <w:bookmarkEnd w:id="144"/>
      <w:bookmarkEnd w:id="145"/>
      <w:bookmarkEnd w:id="146"/>
      <w:r>
        <w:rPr>
          <w:sz w:val="26"/>
        </w:rPr>
        <w:t xml:space="preserve"> и Документации о продаже</w:t>
      </w:r>
      <w:bookmarkEnd w:id="141"/>
    </w:p>
    <w:p>
      <w:pPr>
        <w:pStyle w:val="Style23"/>
        <w:numPr>
          <w:ilvl w:val="2"/>
          <w:numId w:val="3"/>
        </w:numPr>
        <w:tabs>
          <w:tab w:val="left" w:pos="3828" w:leader="none"/>
          <w:tab w:val="left" w:pos="4962" w:leader="none"/>
        </w:tabs>
        <w:ind w:left="1134" w:hanging="1134"/>
        <w:rPr/>
      </w:pPr>
      <w:r>
        <w:rPr/>
        <w:t xml:space="preserve">Извещение и Документация о продаже официально размещены в порядке, указанном в п. </w:t>
      </w:r>
      <w:r>
        <w:rPr/>
        <w:fldChar w:fldCharType="begin"/>
      </w:r>
      <w:r>
        <w:rPr/>
        <w:instrText xml:space="preserve"> REF _Ref514462143 \r \h </w:instrText>
      </w:r>
      <w:r>
        <w:rPr/>
        <w:fldChar w:fldCharType="separate"/>
      </w:r>
      <w:r>
        <w:rPr/>
        <w:t>1.2.8</w:t>
      </w:r>
      <w:r>
        <w:rPr/>
        <w:fldChar w:fldCharType="end"/>
      </w:r>
      <w:r>
        <w:rPr/>
        <w:t xml:space="preserve"> Документации о продаже, и доступны для ознакомления без взимания платы. Иные публикации не являются официальными и не влекут для Организатора продажи никаких последствий.</w:t>
      </w:r>
    </w:p>
    <w:p>
      <w:pPr>
        <w:pStyle w:val="Style23"/>
        <w:numPr>
          <w:ilvl w:val="2"/>
          <w:numId w:val="3"/>
        </w:numPr>
        <w:tabs>
          <w:tab w:val="left" w:pos="3828" w:leader="none"/>
          <w:tab w:val="left" w:pos="4962" w:leader="none"/>
        </w:tabs>
        <w:ind w:left="1134" w:hanging="1134"/>
        <w:rPr/>
      </w:pPr>
      <w:r>
        <w:rPr/>
        <w:t>Заявители (Участники аукциона) обязаны самостоятельно отслеживать официально размещенные разъяснения и изменения Извещения, Документации о продаже, а также информацию о принятых в ходе проведения аукциона решениях Организатора продажи.</w:t>
      </w:r>
    </w:p>
    <w:p>
      <w:pPr>
        <w:pStyle w:val="Heading2"/>
        <w:numPr>
          <w:ilvl w:val="1"/>
          <w:numId w:val="3"/>
        </w:numPr>
        <w:ind w:left="1134" w:hanging="1134"/>
        <w:rPr>
          <w:sz w:val="26"/>
        </w:rPr>
      </w:pPr>
      <w:bookmarkStart w:id="147" w:name="_Toc43469237"/>
      <w:bookmarkStart w:id="148" w:name="_Toc57314653"/>
      <w:bookmarkStart w:id="149" w:name="_Ref514707961"/>
      <w:bookmarkStart w:id="150" w:name="_Toc311975313"/>
      <w:bookmarkEnd w:id="150"/>
      <w:r>
        <w:rPr>
          <w:sz w:val="26"/>
        </w:rPr>
        <w:t>Разъяснение Документации</w:t>
      </w:r>
      <w:bookmarkEnd w:id="148"/>
      <w:bookmarkEnd w:id="149"/>
      <w:r>
        <w:rPr>
          <w:sz w:val="26"/>
        </w:rPr>
        <w:t xml:space="preserve"> о продаже</w:t>
      </w:r>
      <w:bookmarkEnd w:id="147"/>
    </w:p>
    <w:p>
      <w:pPr>
        <w:pStyle w:val="Style23"/>
        <w:numPr>
          <w:ilvl w:val="2"/>
          <w:numId w:val="3"/>
        </w:numPr>
        <w:tabs>
          <w:tab w:val="left" w:pos="3828" w:leader="none"/>
          <w:tab w:val="left" w:pos="4962" w:leader="none"/>
        </w:tabs>
        <w:ind w:left="1134" w:hanging="1134"/>
        <w:rPr/>
      </w:pPr>
      <w:r>
        <w:rPr/>
        <w:t>Заявители вправе обратиться к Организатору продажи за разъяснениями настоящей Документации о продаже.</w:t>
      </w:r>
    </w:p>
    <w:p>
      <w:pPr>
        <w:pStyle w:val="Style23"/>
        <w:numPr>
          <w:ilvl w:val="2"/>
          <w:numId w:val="3"/>
        </w:numPr>
        <w:tabs>
          <w:tab w:val="left" w:pos="3828" w:leader="none"/>
          <w:tab w:val="left" w:pos="4962" w:leader="none"/>
        </w:tabs>
        <w:ind w:left="1134" w:hanging="1134"/>
        <w:rPr/>
      </w:pPr>
      <w:r>
        <w:rPr/>
        <w:t>Запросы на разъяснение настоящей Документации о продаже подаются в соответствии с Регламентом ЭТП.</w:t>
      </w:r>
    </w:p>
    <w:p>
      <w:pPr>
        <w:pStyle w:val="Style23"/>
        <w:numPr>
          <w:ilvl w:val="2"/>
          <w:numId w:val="3"/>
        </w:numPr>
        <w:tabs>
          <w:tab w:val="left" w:pos="3828" w:leader="none"/>
          <w:tab w:val="left" w:pos="4962" w:leader="none"/>
        </w:tabs>
        <w:ind w:left="1134" w:hanging="1134"/>
        <w:rPr/>
      </w:pPr>
      <w:r>
        <w:rPr/>
        <w:t>Организатор продажи обязуется ответить на любой вопрос, поступивший не позднее чем за 3 (три) рабочих дня до даты окончания срока подачи заявок. В случае поступления вопросов с нарушением установленного срока, Организатор продажи вправе не предоставлять разъяснения.</w:t>
      </w:r>
    </w:p>
    <w:p>
      <w:pPr>
        <w:pStyle w:val="Style23"/>
        <w:numPr>
          <w:ilvl w:val="2"/>
          <w:numId w:val="3"/>
        </w:numPr>
        <w:tabs>
          <w:tab w:val="left" w:pos="3828" w:leader="none"/>
          <w:tab w:val="left" w:pos="4962" w:leader="none"/>
        </w:tabs>
        <w:ind w:left="1134" w:hanging="1134"/>
        <w:rPr/>
      </w:pPr>
      <w:r>
        <w:rPr/>
        <w:t>Организатор продажи вправе без получения запросов от Заявителей по собственной инициативе выпустить и официально разместить разъяснения Документации о продаже.</w:t>
      </w:r>
    </w:p>
    <w:p>
      <w:pPr>
        <w:pStyle w:val="Style23"/>
        <w:numPr>
          <w:ilvl w:val="2"/>
          <w:numId w:val="3"/>
        </w:numPr>
        <w:tabs>
          <w:tab w:val="left" w:pos="3828" w:leader="none"/>
          <w:tab w:val="left" w:pos="4962"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 </w:t>
      </w:r>
      <w:r>
        <w:rPr/>
        <w:fldChar w:fldCharType="begin"/>
      </w:r>
      <w:r>
        <w:rPr/>
        <w:instrText xml:space="preserve"> REF _Ref513817350 \r \h </w:instrText>
      </w:r>
      <w:r>
        <w:rPr/>
        <w:fldChar w:fldCharType="separate"/>
      </w:r>
      <w:r>
        <w:rPr/>
        <w:t>1.2.14</w:t>
      </w:r>
      <w:r>
        <w:rPr/>
        <w:fldChar w:fldCharType="end"/>
      </w:r>
      <w:r>
        <w:rPr/>
        <w:t xml:space="preserve"> Документации о продаже.</w:t>
      </w:r>
    </w:p>
    <w:p>
      <w:pPr>
        <w:pStyle w:val="Style23"/>
        <w:numPr>
          <w:ilvl w:val="2"/>
          <w:numId w:val="3"/>
        </w:numPr>
        <w:tabs>
          <w:tab w:val="left" w:pos="3828" w:leader="none"/>
          <w:tab w:val="left" w:pos="4962" w:leader="none"/>
        </w:tabs>
        <w:ind w:left="1134" w:hanging="1134"/>
        <w:rPr/>
      </w:pPr>
      <w:r>
        <w:rPr/>
        <w:t>Заявители обязаны учитывать разъяснения Организатора продажи при подготовке своих заявок. Все риски и последствия за подачу заявки без учета официально размещенных разъяснений несет Заявитель.</w:t>
      </w:r>
    </w:p>
    <w:p>
      <w:pPr>
        <w:pStyle w:val="Style23"/>
        <w:numPr>
          <w:ilvl w:val="2"/>
          <w:numId w:val="3"/>
        </w:numPr>
        <w:tabs>
          <w:tab w:val="left" w:pos="3828" w:leader="none"/>
          <w:tab w:val="left" w:pos="4962"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51" w:name="_Toc43469238"/>
      <w:bookmarkStart w:id="152" w:name="_Ref514601359"/>
      <w:r>
        <w:rPr>
          <w:sz w:val="26"/>
        </w:rPr>
        <w:t>Изменения Документации</w:t>
      </w:r>
      <w:bookmarkEnd w:id="152"/>
      <w:r>
        <w:rPr>
          <w:sz w:val="26"/>
        </w:rPr>
        <w:t xml:space="preserve"> о продаже</w:t>
      </w:r>
      <w:bookmarkEnd w:id="151"/>
    </w:p>
    <w:p>
      <w:pPr>
        <w:pStyle w:val="Style23"/>
        <w:numPr>
          <w:ilvl w:val="2"/>
          <w:numId w:val="3"/>
        </w:numPr>
        <w:tabs>
          <w:tab w:val="left" w:pos="3828" w:leader="none"/>
          <w:tab w:val="left" w:pos="4962" w:leader="none"/>
        </w:tabs>
        <w:ind w:left="1134" w:hanging="1134"/>
        <w:rPr/>
      </w:pPr>
      <w:r>
        <w:rPr/>
        <w:t xml:space="preserve">Организатор продажи в любой момент до окончания срока подачи заявок (п. </w:t>
      </w:r>
      <w:r>
        <w:rPr/>
        <w:fldChar w:fldCharType="begin"/>
      </w:r>
      <w:r>
        <w:rPr/>
        <w:instrText xml:space="preserve"> REF _Ref389823218 \r \h </w:instrText>
      </w:r>
      <w:r>
        <w:rPr/>
        <w:fldChar w:fldCharType="separate"/>
      </w:r>
      <w:r>
        <w:rPr/>
        <w:t>1.2.15</w:t>
      </w:r>
      <w:r>
        <w:rPr/>
        <w:fldChar w:fldCharType="end"/>
      </w:r>
      <w:r>
        <w:rPr/>
        <w:t xml:space="preserve"> Документации о продаже) вправе внести изменения в Извещение и (или) Документацию о продаже. При этом размещению подлежит обновленная редакция Извещения и/или Документации о продаже, а также перечень внесенных изменений в них. При этом, Организатор продажи вправе принять решение о продлении срока подачи заявок.</w:t>
      </w:r>
    </w:p>
    <w:p>
      <w:pPr>
        <w:pStyle w:val="Style23"/>
        <w:numPr>
          <w:ilvl w:val="2"/>
          <w:numId w:val="3"/>
        </w:numPr>
        <w:tabs>
          <w:tab w:val="left" w:pos="3828" w:leader="none"/>
          <w:tab w:val="left" w:pos="4962" w:leader="none"/>
        </w:tabs>
        <w:ind w:left="1134" w:hanging="1134"/>
        <w:rPr/>
      </w:pPr>
      <w:r>
        <w:rPr/>
        <w:t>Заявители обязаны учитывать внесенные изменения при подготовке своих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53" w:name="_Ref514556725"/>
      <w:bookmarkStart w:id="154" w:name="_Ref514601380"/>
      <w:bookmarkStart w:id="155" w:name="_Ref514607557"/>
      <w:bookmarkStart w:id="156" w:name="_Toc43469239"/>
      <w:bookmarkStart w:id="157" w:name="_Ref55280436"/>
      <w:bookmarkStart w:id="158" w:name="_Toc55285345"/>
      <w:bookmarkStart w:id="159" w:name="_Toc55305382"/>
      <w:bookmarkStart w:id="160" w:name="_Toc57314644"/>
      <w:bookmarkStart w:id="161" w:name="_Toc69728967"/>
      <w:r>
        <w:rPr>
          <w:sz w:val="26"/>
        </w:rPr>
        <w:t>Подготовка заявок</w:t>
      </w:r>
      <w:bookmarkEnd w:id="153"/>
      <w:bookmarkEnd w:id="154"/>
      <w:bookmarkEnd w:id="155"/>
      <w:bookmarkEnd w:id="156"/>
      <w:bookmarkEnd w:id="157"/>
      <w:bookmarkEnd w:id="158"/>
      <w:bookmarkEnd w:id="159"/>
      <w:bookmarkEnd w:id="160"/>
      <w:bookmarkEnd w:id="161"/>
    </w:p>
    <w:p>
      <w:pPr>
        <w:pStyle w:val="24"/>
        <w:numPr>
          <w:ilvl w:val="2"/>
          <w:numId w:val="3"/>
        </w:numPr>
        <w:ind w:left="1134" w:hanging="1134"/>
        <w:rPr/>
      </w:pPr>
      <w:bookmarkStart w:id="162" w:name="_Ref56229154"/>
      <w:bookmarkStart w:id="163" w:name="_Toc57314645"/>
      <w:bookmarkStart w:id="164" w:name="_Toc43469240"/>
      <w:r>
        <w:rPr/>
        <w:t>Общие требования к заявке</w:t>
      </w:r>
      <w:bookmarkEnd w:id="162"/>
      <w:bookmarkEnd w:id="163"/>
      <w:bookmarkEnd w:id="164"/>
    </w:p>
    <w:p>
      <w:pPr>
        <w:pStyle w:val="Style24"/>
        <w:numPr>
          <w:ilvl w:val="3"/>
          <w:numId w:val="3"/>
        </w:numPr>
        <w:rPr/>
      </w:pPr>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Документации о продаже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 xml:space="preserve"> Документации о продаже.</w:t>
      </w:r>
    </w:p>
    <w:p>
      <w:pPr>
        <w:pStyle w:val="Style24"/>
        <w:numPr>
          <w:ilvl w:val="3"/>
          <w:numId w:val="3"/>
        </w:numPr>
        <w:rPr/>
      </w:pPr>
      <w:bookmarkStart w:id="165" w:name="_Ref56240821"/>
      <w:bookmarkStart w:id="166" w:name="_Ref466382406"/>
      <w:r>
        <w:rPr/>
        <w:t>Заявитель имеет право подать только одну заявку</w:t>
      </w:r>
      <w:bookmarkEnd w:id="165"/>
      <w:bookmarkEnd w:id="166"/>
      <w:r>
        <w:rPr/>
        <w:t xml:space="preserve"> на участие в аукционе. При этом подача заявки на часть лота не допускается. В случае нарушения этого требования (при получении двух и более заявок от одного Участника в рамках одного лота) принимается заявка поданная первой.</w:t>
      </w:r>
    </w:p>
    <w:p>
      <w:pPr>
        <w:pStyle w:val="Style24"/>
        <w:numPr>
          <w:ilvl w:val="3"/>
          <w:numId w:val="3"/>
        </w:numPr>
        <w:rPr/>
      </w:pPr>
      <w:bookmarkStart w:id="167" w:name="_Ref515979979"/>
      <w:bookmarkStart w:id="168" w:name="_Ref514625050"/>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bookmarkEnd w:id="167"/>
      <w:bookmarkEnd w:id="168"/>
    </w:p>
    <w:p>
      <w:pPr>
        <w:pStyle w:val="Style24"/>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и(или) саморегулируемыми организациями, должны соответствовать императивным требованиям (при наличии) законодательства РФ в отношении:</w:t>
      </w:r>
    </w:p>
    <w:p>
      <w:pPr>
        <w:pStyle w:val="Style25"/>
        <w:widowControl w:val="false"/>
        <w:numPr>
          <w:ilvl w:val="4"/>
          <w:numId w:val="3"/>
        </w:numPr>
        <w:ind w:left="1843" w:hanging="567"/>
        <w:rPr/>
      </w:pPr>
      <w:r>
        <w:rPr/>
        <w:t>полномочий таких органов (лиц) на оформление представленных в составе заявки документов;</w:t>
      </w:r>
    </w:p>
    <w:p>
      <w:pPr>
        <w:pStyle w:val="Style25"/>
        <w:widowControl w:val="false"/>
        <w:numPr>
          <w:ilvl w:val="4"/>
          <w:numId w:val="3"/>
        </w:numPr>
        <w:ind w:left="1843" w:hanging="567"/>
        <w:rPr/>
      </w:pPr>
      <w:bookmarkStart w:id="169" w:name="_Ref56235235"/>
      <w:r>
        <w:rPr/>
        <w:t>формы, объема и содержания представленных в составе заявки документов.</w:t>
      </w:r>
      <w:bookmarkEnd w:id="169"/>
    </w:p>
    <w:p>
      <w:pPr>
        <w:pStyle w:val="Style24"/>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4"/>
        <w:numPr>
          <w:ilvl w:val="3"/>
          <w:numId w:val="3"/>
        </w:numPr>
        <w:rPr/>
      </w:pPr>
      <w:r>
        <w:rPr/>
        <w:t>Заявка должна быть подписана ЭЦП Заявителя.</w:t>
      </w:r>
    </w:p>
    <w:p>
      <w:pPr>
        <w:pStyle w:val="Style24"/>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4"/>
        <w:numPr>
          <w:ilvl w:val="3"/>
          <w:numId w:val="3"/>
        </w:numPr>
        <w:rPr/>
      </w:pPr>
      <w:r>
        <w:rPr/>
        <w:t>Все файлы не должны иметь защиты от их открытия, изменения, копирования их содержимого или их печати.</w:t>
      </w:r>
    </w:p>
    <w:p>
      <w:pPr>
        <w:pStyle w:val="Style24"/>
        <w:numPr>
          <w:ilvl w:val="3"/>
          <w:numId w:val="3"/>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24"/>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4"/>
        <w:numPr>
          <w:ilvl w:val="3"/>
          <w:numId w:val="3"/>
        </w:numPr>
        <w:rPr/>
      </w:pPr>
      <w:r>
        <w:rPr/>
        <w:t>В соответствии с Регламентом ЭТП, ЭТП автоматически присваивает Заявителю, подавшему заявку на участие в аукционе, уникальный в рамках данного аукциона идентификационный номер.</w:t>
      </w:r>
    </w:p>
    <w:p>
      <w:pPr>
        <w:pStyle w:val="Style24"/>
        <w:numPr>
          <w:ilvl w:val="3"/>
          <w:numId w:val="3"/>
        </w:numPr>
        <w:rPr/>
      </w:pPr>
      <w:r>
        <w:rPr/>
        <w:t>Организатор продажи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4"/>
        <w:numPr>
          <w:ilvl w:val="2"/>
          <w:numId w:val="3"/>
        </w:numPr>
        <w:ind w:left="1134" w:hanging="1134"/>
        <w:rPr/>
      </w:pPr>
      <w:bookmarkStart w:id="170" w:name="_Ref56233643"/>
      <w:bookmarkStart w:id="171" w:name="_Ref56235653"/>
      <w:bookmarkStart w:id="172" w:name="_Toc57314646"/>
      <w:bookmarkStart w:id="173" w:name="_Ref324342276"/>
      <w:bookmarkStart w:id="174" w:name="_Toc43469241"/>
      <w:bookmarkStart w:id="175" w:name="_Toc452451015"/>
      <w:bookmarkStart w:id="176" w:name="_Toc453146031"/>
      <w:bookmarkEnd w:id="175"/>
      <w:bookmarkEnd w:id="176"/>
      <w:r>
        <w:rPr/>
        <w:t>Требования к сроку действия заявки</w:t>
      </w:r>
      <w:bookmarkEnd w:id="170"/>
      <w:bookmarkEnd w:id="171"/>
      <w:bookmarkEnd w:id="172"/>
      <w:bookmarkEnd w:id="173"/>
      <w:bookmarkEnd w:id="174"/>
    </w:p>
    <w:p>
      <w:pPr>
        <w:pStyle w:val="Style24"/>
        <w:widowControl w:val="false"/>
        <w:numPr>
          <w:ilvl w:val="3"/>
          <w:numId w:val="3"/>
        </w:numPr>
        <w:rPr/>
      </w:pPr>
      <w:bookmarkStart w:id="177" w:name="_Ref56220570"/>
      <w:bookmarkStart w:id="178" w:name="_Ref457409191"/>
      <w:r>
        <w:rPr/>
        <w:t xml:space="preserve">Заявка должна быть действительна в течение срока проведения аукциона до истечения срока, отведенного на заключение Договора (п. </w:t>
      </w:r>
      <w:r>
        <w:rPr/>
        <w:fldChar w:fldCharType="begin"/>
      </w:r>
      <w:r>
        <w:rPr/>
        <w:instrText xml:space="preserve"> REF _Ref500429479 \r \h </w:instrText>
      </w:r>
      <w:r>
        <w:rPr/>
        <w:fldChar w:fldCharType="separate"/>
      </w:r>
      <w:r>
        <w:rPr/>
        <w:t>6.1.1</w:t>
      </w:r>
      <w:r>
        <w:rPr/>
        <w:fldChar w:fldCharType="end"/>
      </w:r>
      <w:r>
        <w:rPr/>
        <w:t xml:space="preserve"> Документации о продаже). </w:t>
      </w:r>
      <w:bookmarkEnd w:id="177"/>
      <w:bookmarkEnd w:id="178"/>
      <w:r>
        <w:rPr/>
        <w:t xml:space="preserve">В любом случае этот срок должен быть не менее чем 90 (девяносто) календарных дней с даты окончания срока подачи заявок, установленной в п. </w:t>
      </w:r>
      <w:r>
        <w:rPr/>
        <w:fldChar w:fldCharType="begin"/>
      </w:r>
      <w:r>
        <w:rPr/>
        <w:instrText xml:space="preserve"> REF _Ref389823218 \r \h </w:instrText>
      </w:r>
      <w:r>
        <w:rPr/>
        <w:fldChar w:fldCharType="separate"/>
      </w:r>
      <w:r>
        <w:rPr/>
        <w:t>1.2.15</w:t>
      </w:r>
      <w:r>
        <w:rPr/>
        <w:fldChar w:fldCharType="end"/>
      </w:r>
      <w:r>
        <w:rPr/>
        <w:t xml:space="preserve"> Документации о продаже. Указание меньшего срока действия заявки в Заявке на участие в аукционе может служить основанием для отклонения заявки.</w:t>
      </w:r>
    </w:p>
    <w:p>
      <w:pPr>
        <w:pStyle w:val="24"/>
        <w:numPr>
          <w:ilvl w:val="2"/>
          <w:numId w:val="3"/>
        </w:numPr>
        <w:ind w:left="1134" w:hanging="1134"/>
        <w:rPr/>
      </w:pPr>
      <w:bookmarkStart w:id="179" w:name="_Toc57314647"/>
      <w:bookmarkStart w:id="180" w:name="_Ref324342156"/>
      <w:bookmarkStart w:id="181" w:name="_Toc43469242"/>
      <w:r>
        <w:rPr/>
        <w:t>Требования к языку заявки</w:t>
      </w:r>
      <w:bookmarkEnd w:id="179"/>
      <w:bookmarkEnd w:id="180"/>
      <w:bookmarkEnd w:id="181"/>
    </w:p>
    <w:p>
      <w:pPr>
        <w:pStyle w:val="Style24"/>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продажи как предоставление недостоверных сведений.</w:t>
      </w:r>
    </w:p>
    <w:p>
      <w:pPr>
        <w:pStyle w:val="Style24"/>
        <w:numPr>
          <w:ilvl w:val="3"/>
          <w:numId w:val="3"/>
        </w:numPr>
        <w:rPr/>
      </w:pPr>
      <w:r>
        <w:rPr/>
        <w:t>Организатор продажи вправе не рассматривать документы, не переведенные на русский язык.</w:t>
      </w:r>
      <w:bookmarkStart w:id="182" w:name="_Hlt40850038"/>
      <w:bookmarkEnd w:id="182"/>
    </w:p>
    <w:p>
      <w:pPr>
        <w:pStyle w:val="24"/>
        <w:numPr>
          <w:ilvl w:val="2"/>
          <w:numId w:val="3"/>
        </w:numPr>
        <w:ind w:left="1134" w:hanging="1134"/>
        <w:rPr/>
      </w:pPr>
      <w:bookmarkStart w:id="183" w:name="_Toc43469243"/>
      <w:bookmarkStart w:id="184" w:name="_Ref514621956"/>
      <w:bookmarkStart w:id="185" w:name="_Toc57314648"/>
      <w:r>
        <w:rPr/>
        <w:t xml:space="preserve">Требования к валюте </w:t>
      </w:r>
      <w:bookmarkEnd w:id="184"/>
      <w:bookmarkEnd w:id="185"/>
      <w:r>
        <w:rPr/>
        <w:t>предложения</w:t>
      </w:r>
      <w:bookmarkEnd w:id="183"/>
    </w:p>
    <w:p>
      <w:pPr>
        <w:pStyle w:val="Style24"/>
        <w:numPr>
          <w:ilvl w:val="3"/>
          <w:numId w:val="3"/>
        </w:numPr>
        <w:rPr/>
      </w:pPr>
      <w:bookmarkStart w:id="186" w:name="_Ref56220708"/>
      <w:r>
        <w:rPr/>
        <w:t>Валюта, в которой Заявители подают ценовые предложения -  российский рубль</w:t>
      </w:r>
      <w:bookmarkEnd w:id="186"/>
      <w:r>
        <w:rPr/>
        <w:t>.</w:t>
      </w:r>
    </w:p>
    <w:p>
      <w:pPr>
        <w:pStyle w:val="24"/>
        <w:numPr>
          <w:ilvl w:val="2"/>
          <w:numId w:val="3"/>
        </w:numPr>
        <w:ind w:left="1134" w:hanging="1134"/>
        <w:rPr/>
      </w:pPr>
      <w:bookmarkStart w:id="187" w:name="_Toc43469244"/>
      <w:bookmarkStart w:id="188" w:name="_Toc501038056"/>
      <w:bookmarkStart w:id="189" w:name="_Toc502257156"/>
      <w:bookmarkStart w:id="190" w:name="_Toc311975322"/>
      <w:bookmarkEnd w:id="188"/>
      <w:bookmarkEnd w:id="189"/>
      <w:bookmarkEnd w:id="190"/>
      <w:r>
        <w:rPr/>
        <w:t>Информация о задатке</w:t>
      </w:r>
      <w:bookmarkEnd w:id="187"/>
    </w:p>
    <w:p>
      <w:pPr>
        <w:pStyle w:val="Style24"/>
        <w:numPr>
          <w:ilvl w:val="3"/>
          <w:numId w:val="3"/>
        </w:numPr>
        <w:rPr/>
      </w:pPr>
      <w:r>
        <w:rPr/>
        <w:t>Для участия в аукционе Заявитель не должен перечислять задаток.</w:t>
      </w:r>
    </w:p>
    <w:p>
      <w:pPr>
        <w:pStyle w:val="Style24"/>
        <w:numPr>
          <w:ilvl w:val="3"/>
          <w:numId w:val="3"/>
        </w:numPr>
        <w:rPr/>
      </w:pPr>
      <w:r>
        <w:rPr/>
        <w:t>Подача заявки является акцептом оферты в соответствии со статьей 437 ГК РФ.</w:t>
      </w:r>
    </w:p>
    <w:p>
      <w:pPr>
        <w:pStyle w:val="Heading2"/>
        <w:keepNext w:val="false"/>
        <w:widowControl w:val="false"/>
        <w:numPr>
          <w:ilvl w:val="1"/>
          <w:numId w:val="3"/>
        </w:numPr>
        <w:ind w:left="1134" w:hanging="1134"/>
        <w:rPr>
          <w:sz w:val="26"/>
        </w:rPr>
      </w:pPr>
      <w:bookmarkStart w:id="191" w:name="_Ref514649217"/>
      <w:bookmarkStart w:id="192" w:name="_Toc43469245"/>
      <w:bookmarkStart w:id="193" w:name="_Ref55280443"/>
      <w:bookmarkStart w:id="194" w:name="_Toc55285351"/>
      <w:bookmarkStart w:id="195" w:name="_Toc55305383"/>
      <w:bookmarkStart w:id="196" w:name="_Toc57314654"/>
      <w:bookmarkStart w:id="197" w:name="_Toc69728968"/>
      <w:bookmarkStart w:id="198" w:name="_Toc526927498"/>
      <w:bookmarkStart w:id="199" w:name="_Toc526947876"/>
      <w:bookmarkStart w:id="200" w:name="_Ref56239526"/>
      <w:bookmarkStart w:id="201" w:name="_Toc57314667"/>
      <w:bookmarkStart w:id="202" w:name="_Toc69728981"/>
      <w:bookmarkStart w:id="203" w:name="_Ref93139004"/>
      <w:bookmarkEnd w:id="198"/>
      <w:bookmarkEnd w:id="199"/>
      <w:bookmarkEnd w:id="200"/>
      <w:bookmarkEnd w:id="201"/>
      <w:bookmarkEnd w:id="202"/>
      <w:bookmarkEnd w:id="203"/>
      <w:r>
        <w:rPr>
          <w:sz w:val="26"/>
        </w:rPr>
        <w:t>Подача заявок и их прием</w:t>
      </w:r>
      <w:bookmarkStart w:id="204" w:name="_Hlk524091094"/>
      <w:bookmarkEnd w:id="191"/>
      <w:bookmarkEnd w:id="192"/>
      <w:bookmarkEnd w:id="193"/>
      <w:bookmarkEnd w:id="194"/>
      <w:bookmarkEnd w:id="195"/>
      <w:bookmarkEnd w:id="196"/>
      <w:bookmarkEnd w:id="197"/>
      <w:bookmarkEnd w:id="204"/>
    </w:p>
    <w:p>
      <w:pPr>
        <w:pStyle w:val="Style23"/>
        <w:numPr>
          <w:ilvl w:val="2"/>
          <w:numId w:val="3"/>
        </w:numPr>
        <w:tabs>
          <w:tab w:val="left" w:pos="142" w:leader="none"/>
          <w:tab w:val="left" w:pos="496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 </w:t>
      </w:r>
      <w:r>
        <w:rPr/>
        <w:fldChar w:fldCharType="begin"/>
      </w:r>
      <w:r>
        <w:rPr/>
        <w:instrText xml:space="preserve"> REF _Ref384115739 \r \h </w:instrText>
      </w:r>
      <w:r>
        <w:rPr/>
        <w:fldChar w:fldCharType="separate"/>
      </w:r>
      <w:r>
        <w:rPr/>
        <w:t>1.2.9</w:t>
      </w:r>
      <w:r>
        <w:rPr/>
        <w:fldChar w:fldCharType="end"/>
      </w:r>
      <w:r>
        <w:rPr/>
        <w:t xml:space="preserve"> Документации о продаже) и до окончания срока подачи заявок, указанного в п. </w:t>
      </w:r>
      <w:r>
        <w:rPr>
          <w:rStyle w:val="Style4"/>
          <w:b w:val="false"/>
          <w:i w:val="false"/>
          <w:shd w:fill="auto" w:val="clear"/>
        </w:rPr>
        <w:fldChar w:fldCharType="begin"/>
      </w:r>
      <w:r>
        <w:rPr>
          <w:rStyle w:val="Style4"/>
          <w:i w:val="false"/>
          <w:b w:val="false"/>
          <w:shd w:fill="auto" w:val="clear"/>
        </w:rPr>
        <w:instrText xml:space="preserve"> REF _Ref389823218 \r \h </w:instrText>
      </w:r>
      <w:r>
        <w:rPr>
          <w:rStyle w:val="Style4"/>
          <w:i w:val="false"/>
          <w:b w:val="false"/>
          <w:shd w:fill="auto" w:val="clear"/>
        </w:rPr>
        <w:fldChar w:fldCharType="separate"/>
      </w:r>
      <w:r>
        <w:rPr>
          <w:rStyle w:val="Style4"/>
          <w:i w:val="false"/>
          <w:b w:val="false"/>
          <w:shd w:fill="auto" w:val="clear"/>
        </w:rPr>
        <w:t>1.2.15</w:t>
      </w:r>
      <w:r>
        <w:rPr>
          <w:rStyle w:val="Style4"/>
          <w:i w:val="false"/>
          <w:b w:val="false"/>
          <w:shd w:fill="auto" w:val="clear"/>
        </w:rPr>
        <w:fldChar w:fldCharType="end"/>
      </w:r>
      <w:r>
        <w:rPr/>
        <w:t xml:space="preserve"> Документации о продаже.</w:t>
      </w:r>
    </w:p>
    <w:p>
      <w:pPr>
        <w:pStyle w:val="Style23"/>
        <w:numPr>
          <w:ilvl w:val="2"/>
          <w:numId w:val="3"/>
        </w:numPr>
        <w:tabs>
          <w:tab w:val="left" w:pos="142" w:leader="none"/>
          <w:tab w:val="left" w:pos="496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о продаже (включая все приложения к ней).</w:t>
      </w:r>
    </w:p>
    <w:p>
      <w:pPr>
        <w:pStyle w:val="Style23"/>
        <w:numPr>
          <w:ilvl w:val="2"/>
          <w:numId w:val="3"/>
        </w:numPr>
        <w:tabs>
          <w:tab w:val="left" w:pos="142" w:leader="none"/>
          <w:tab w:val="left" w:pos="4962" w:leader="none"/>
        </w:tabs>
        <w:ind w:left="1134" w:hanging="1134"/>
        <w:rPr/>
      </w:pPr>
      <w:r>
        <w:rPr/>
        <w:t>Заявка должна быть подана Заявителем посредством функциональности ЭТП в отсканированном виде в доступном для прочтения формате.</w:t>
      </w:r>
    </w:p>
    <w:p>
      <w:pPr>
        <w:pStyle w:val="Style23"/>
        <w:numPr>
          <w:ilvl w:val="2"/>
          <w:numId w:val="3"/>
        </w:numPr>
        <w:tabs>
          <w:tab w:val="left" w:pos="142" w:leader="none"/>
          <w:tab w:val="left" w:pos="4962" w:leader="none"/>
        </w:tabs>
        <w:ind w:left="1134" w:hanging="1134"/>
        <w:rPr/>
      </w:pPr>
      <w:r>
        <w:rPr/>
        <w:t>Правила подачи заявок определяются Регламентом ЭТП. Заявки, поданные через ЭТП, дублировать в адрес Организатора продажи по почте, электронной почте и другими способами не требуется. Заявки, полученные Организатором продажи не через ЭТП, не рассматриваются.</w:t>
      </w:r>
    </w:p>
    <w:p>
      <w:pPr>
        <w:pStyle w:val="Style23"/>
        <w:numPr>
          <w:ilvl w:val="2"/>
          <w:numId w:val="3"/>
        </w:numPr>
        <w:tabs>
          <w:tab w:val="left" w:pos="142" w:leader="none"/>
          <w:tab w:val="left" w:pos="496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3"/>
        <w:numPr>
          <w:ilvl w:val="2"/>
          <w:numId w:val="3"/>
        </w:numPr>
        <w:tabs>
          <w:tab w:val="left" w:pos="142" w:leader="none"/>
          <w:tab w:val="left" w:pos="496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205" w:name="_Ref56251474"/>
      <w:bookmarkStart w:id="206" w:name="_Toc57314665"/>
      <w:bookmarkStart w:id="207" w:name="_Toc69728979"/>
      <w:bookmarkStart w:id="208" w:name="_Toc43469246"/>
      <w:bookmarkStart w:id="209" w:name="_Toc526947880"/>
      <w:bookmarkStart w:id="210" w:name="_Toc526947881"/>
      <w:bookmarkStart w:id="211" w:name="_Toc525302890"/>
      <w:bookmarkStart w:id="212" w:name="_Toc525302893"/>
      <w:bookmarkStart w:id="213" w:name="_Toc452451041"/>
      <w:bookmarkStart w:id="214" w:name="_Toc453146057"/>
      <w:bookmarkStart w:id="215" w:name="_Toc453230001"/>
      <w:bookmarkStart w:id="216" w:name="_Toc115776303"/>
      <w:bookmarkStart w:id="217" w:name="_Toc170292276"/>
      <w:bookmarkStart w:id="218" w:name="_Toc210452306"/>
      <w:bookmarkStart w:id="219" w:name="_Ref268012040"/>
      <w:bookmarkStart w:id="220" w:name="_Toc329344073"/>
      <w:bookmarkStart w:id="221" w:name="_Ref56229451"/>
      <w:bookmarkEnd w:id="209"/>
      <w:bookmarkEnd w:id="210"/>
      <w:bookmarkEnd w:id="211"/>
      <w:bookmarkEnd w:id="212"/>
      <w:bookmarkEnd w:id="213"/>
      <w:bookmarkEnd w:id="214"/>
      <w:bookmarkEnd w:id="215"/>
      <w:bookmarkEnd w:id="216"/>
      <w:bookmarkEnd w:id="217"/>
      <w:bookmarkEnd w:id="218"/>
      <w:bookmarkEnd w:id="219"/>
      <w:bookmarkEnd w:id="220"/>
      <w:bookmarkEnd w:id="221"/>
      <w:r>
        <w:rPr>
          <w:sz w:val="26"/>
        </w:rPr>
        <w:t>Изменение и отзыв заявок</w:t>
      </w:r>
      <w:bookmarkEnd w:id="205"/>
      <w:bookmarkEnd w:id="206"/>
      <w:bookmarkEnd w:id="207"/>
      <w:bookmarkEnd w:id="208"/>
    </w:p>
    <w:p>
      <w:pPr>
        <w:pStyle w:val="Style23"/>
        <w:numPr>
          <w:ilvl w:val="2"/>
          <w:numId w:val="3"/>
        </w:numPr>
        <w:tabs>
          <w:tab w:val="left" w:pos="3828" w:leader="none"/>
          <w:tab w:val="left" w:pos="4962"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 </w:t>
      </w:r>
      <w:r>
        <w:rPr/>
        <w:fldChar w:fldCharType="begin"/>
      </w:r>
      <w:r>
        <w:rPr/>
        <w:instrText xml:space="preserve"> REF _Ref389823218 \r \h </w:instrText>
      </w:r>
      <w:r>
        <w:rPr/>
        <w:fldChar w:fldCharType="separate"/>
      </w:r>
      <w:r>
        <w:rPr/>
        <w:t>1.2.15</w:t>
      </w:r>
      <w:r>
        <w:rPr/>
        <w:fldChar w:fldCharType="end"/>
      </w:r>
      <w:r>
        <w:rPr/>
        <w:t xml:space="preserve"> Документации о продаже),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 о продаже.</w:t>
      </w:r>
    </w:p>
    <w:p>
      <w:pPr>
        <w:pStyle w:val="Style23"/>
        <w:numPr>
          <w:ilvl w:val="2"/>
          <w:numId w:val="3"/>
        </w:numPr>
        <w:tabs>
          <w:tab w:val="left" w:pos="3828" w:leader="none"/>
          <w:tab w:val="left" w:pos="4962"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 продажи.</w:t>
      </w:r>
    </w:p>
    <w:p>
      <w:pPr>
        <w:pStyle w:val="Style23"/>
        <w:numPr>
          <w:ilvl w:val="2"/>
          <w:numId w:val="3"/>
        </w:numPr>
        <w:tabs>
          <w:tab w:val="left" w:pos="3828" w:leader="none"/>
          <w:tab w:val="left" w:pos="4962" w:leader="none"/>
        </w:tabs>
        <w:ind w:left="1134" w:hanging="1134"/>
        <w:rPr/>
      </w:pPr>
      <w:r>
        <w:rPr/>
        <w:t>Изменение и отзыв Заявителем ранее поданной заявки осуществляется посредством функциональности ЭТП, а подробный порядок определяется Регламентом ЭТП.</w:t>
      </w:r>
    </w:p>
    <w:p>
      <w:pPr>
        <w:pStyle w:val="Heading2"/>
        <w:numPr>
          <w:ilvl w:val="1"/>
          <w:numId w:val="3"/>
        </w:numPr>
        <w:ind w:left="1134" w:hanging="1134"/>
        <w:rPr>
          <w:sz w:val="26"/>
        </w:rPr>
      </w:pPr>
      <w:bookmarkStart w:id="222" w:name="_Ref524002679"/>
      <w:bookmarkStart w:id="223" w:name="_Toc43469247"/>
      <w:bookmarkStart w:id="224" w:name="_Toc516980508"/>
      <w:bookmarkStart w:id="225" w:name="_Toc512721009"/>
      <w:bookmarkEnd w:id="224"/>
      <w:bookmarkEnd w:id="225"/>
      <w:r>
        <w:rPr>
          <w:sz w:val="26"/>
        </w:rPr>
        <w:t>Открытие доступа к заявкам</w:t>
      </w:r>
      <w:bookmarkEnd w:id="222"/>
      <w:bookmarkEnd w:id="223"/>
    </w:p>
    <w:p>
      <w:pPr>
        <w:pStyle w:val="Style23"/>
        <w:numPr>
          <w:ilvl w:val="2"/>
          <w:numId w:val="3"/>
        </w:numPr>
        <w:tabs>
          <w:tab w:val="left" w:pos="3828" w:leader="none"/>
          <w:tab w:val="left" w:pos="4962" w:leader="none"/>
        </w:tabs>
        <w:ind w:left="1134" w:hanging="1134"/>
        <w:rPr/>
      </w:pPr>
      <w:r>
        <w:rPr/>
        <w:t xml:space="preserve">Открытие доступа к поступившим электронным конвертам с заявками (открытие доступа к заявкам) не является публичным и происходит автоматически в порядке, предусмотренном Регламентом ЭТП сразу </w:t>
      </w:r>
      <w:bookmarkStart w:id="226" w:name="_Hlk524094134"/>
      <w:r>
        <w:rPr/>
        <w:t xml:space="preserve">после окончания срока подачи заявок, установленного в п. </w:t>
      </w:r>
      <w:r>
        <w:rPr/>
        <w:fldChar w:fldCharType="begin"/>
      </w:r>
      <w:r>
        <w:rPr/>
        <w:instrText xml:space="preserve"> REF _Ref389823218 \r \h </w:instrText>
      </w:r>
      <w:r>
        <w:rPr/>
        <w:fldChar w:fldCharType="separate"/>
      </w:r>
      <w:r>
        <w:rPr/>
        <w:t>1.2.15</w:t>
      </w:r>
      <w:r>
        <w:rPr/>
        <w:fldChar w:fldCharType="end"/>
      </w:r>
      <w:bookmarkEnd w:id="226"/>
      <w:r>
        <w:rPr/>
        <w:t xml:space="preserve"> Документации о продаже.</w:t>
      </w:r>
    </w:p>
    <w:p>
      <w:pPr>
        <w:pStyle w:val="Style23"/>
        <w:numPr>
          <w:ilvl w:val="2"/>
          <w:numId w:val="3"/>
        </w:numPr>
        <w:tabs>
          <w:tab w:val="left" w:pos="3828" w:leader="none"/>
          <w:tab w:val="left" w:pos="4962" w:leader="none"/>
        </w:tabs>
        <w:ind w:left="1134" w:hanging="1134"/>
        <w:rPr/>
      </w:pPr>
      <w:r>
        <w:rPr/>
        <w:t>При проведении аукциона Оператор ЭТП предоставляет Организатору продажи доступ одновременно ко всем поданным заявкам в полном объеме.</w:t>
      </w:r>
    </w:p>
    <w:p>
      <w:pPr>
        <w:pStyle w:val="Style23"/>
        <w:numPr>
          <w:ilvl w:val="2"/>
          <w:numId w:val="3"/>
        </w:numPr>
        <w:tabs>
          <w:tab w:val="left" w:pos="3828" w:leader="none"/>
          <w:tab w:val="left" w:pos="4962" w:leader="none"/>
        </w:tabs>
        <w:ind w:left="1134" w:hanging="1134"/>
        <w:rPr/>
      </w:pPr>
      <w:r>
        <w:rPr/>
        <w:t>Порядок получения Заявителями информации о поступивших заявках через ЭТП определяется Регламентом ЭТП.</w:t>
      </w:r>
    </w:p>
    <w:p>
      <w:pPr>
        <w:pStyle w:val="Heading2"/>
        <w:numPr>
          <w:ilvl w:val="1"/>
          <w:numId w:val="3"/>
        </w:numPr>
        <w:ind w:left="1134" w:hanging="1134"/>
        <w:rPr>
          <w:sz w:val="26"/>
        </w:rPr>
      </w:pPr>
      <w:bookmarkStart w:id="227" w:name="_Ref55280453"/>
      <w:bookmarkStart w:id="228" w:name="_Toc55285353"/>
      <w:bookmarkStart w:id="229" w:name="_Toc55305385"/>
      <w:bookmarkStart w:id="230" w:name="_Toc57314656"/>
      <w:bookmarkStart w:id="231" w:name="_Toc69728970"/>
      <w:bookmarkStart w:id="232" w:name="_Ref514620397"/>
      <w:bookmarkStart w:id="233" w:name="_Toc43469248"/>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6221780"/>
      <w:bookmarkStart w:id="298" w:name="_Ref324334912"/>
      <w:bookmarkStart w:id="299" w:name="_Ref55280448"/>
      <w:bookmarkStart w:id="300" w:name="_Toc55285352"/>
      <w:bookmarkStart w:id="301" w:name="_Toc55305384"/>
      <w:bookmarkStart w:id="302" w:name="_Toc57314655"/>
      <w:bookmarkStart w:id="303" w:name="_Toc69728969"/>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Pr>
          <w:sz w:val="26"/>
        </w:rPr>
        <w:t>Рассмотрение заявок</w:t>
      </w:r>
      <w:bookmarkEnd w:id="227"/>
      <w:bookmarkEnd w:id="228"/>
      <w:bookmarkEnd w:id="229"/>
      <w:bookmarkEnd w:id="230"/>
      <w:bookmarkEnd w:id="231"/>
      <w:bookmarkEnd w:id="232"/>
      <w:bookmarkEnd w:id="233"/>
      <w:r>
        <w:rPr>
          <w:sz w:val="26"/>
        </w:rPr>
        <w:t xml:space="preserve"> </w:t>
      </w:r>
    </w:p>
    <w:p>
      <w:pPr>
        <w:pStyle w:val="Style23"/>
        <w:numPr>
          <w:ilvl w:val="2"/>
          <w:numId w:val="3"/>
        </w:numPr>
        <w:tabs>
          <w:tab w:val="left" w:pos="1134" w:leader="none"/>
          <w:tab w:val="left" w:pos="4962" w:leader="none"/>
        </w:tabs>
        <w:ind w:left="1134" w:hanging="1134"/>
        <w:rPr/>
      </w:pPr>
      <w:r>
        <w:rPr/>
        <w:t xml:space="preserve">Дата окончания срока рассмотрения заявок указана в п. </w:t>
      </w:r>
      <w:r>
        <w:rPr/>
        <w:fldChar w:fldCharType="begin"/>
      </w:r>
      <w:r>
        <w:rPr/>
        <w:instrText xml:space="preserve"> REF _Ref334789513 \r \h </w:instrText>
      </w:r>
      <w:r>
        <w:rPr/>
        <w:fldChar w:fldCharType="separate"/>
      </w:r>
      <w:r>
        <w:rPr/>
        <w:t>1.2.16</w:t>
      </w:r>
      <w:r>
        <w:rPr/>
        <w:fldChar w:fldCharType="end"/>
      </w:r>
      <w:r>
        <w:rPr/>
        <w:t xml:space="preserve"> Документации о продаже. Организатор продажи по согласованию с Продавцом вправе, при необходимости, изменить данный срок, официально разместив информацию об этом.</w:t>
      </w:r>
    </w:p>
    <w:p>
      <w:pPr>
        <w:pStyle w:val="Style23"/>
        <w:numPr>
          <w:ilvl w:val="2"/>
          <w:numId w:val="3"/>
        </w:numPr>
        <w:tabs>
          <w:tab w:val="left" w:pos="1134" w:leader="none"/>
          <w:tab w:val="left" w:pos="4962" w:leader="none"/>
        </w:tabs>
        <w:ind w:left="1134" w:hanging="1134"/>
        <w:rPr/>
      </w:pPr>
      <w:bookmarkStart w:id="304" w:name="_Ref524098469"/>
      <w:bookmarkStart w:id="305" w:name="_Ref55304418"/>
      <w:r>
        <w:rPr/>
        <w:t xml:space="preserve">В рамках рассмотрения заявок </w:t>
      </w:r>
      <w:bookmarkEnd w:id="305"/>
      <w:r>
        <w:rPr/>
        <w:t>осуществляется проверка каждой заявки на предмет соответствия отборочным критериям</w:t>
      </w:r>
      <w:bookmarkStart w:id="306" w:name="_Ref55304419"/>
      <w:r>
        <w:rPr/>
        <w:t>, установленным в Приложении № 5 Документации о продаже.</w:t>
      </w:r>
      <w:bookmarkEnd w:id="304"/>
    </w:p>
    <w:p>
      <w:pPr>
        <w:pStyle w:val="Style23"/>
        <w:numPr>
          <w:ilvl w:val="2"/>
          <w:numId w:val="3"/>
        </w:numPr>
        <w:tabs>
          <w:tab w:val="left" w:pos="1134" w:leader="none"/>
          <w:tab w:val="left" w:pos="4962" w:leader="none"/>
        </w:tabs>
        <w:ind w:left="1134" w:hanging="1134"/>
        <w:rPr/>
      </w:pPr>
      <w:r>
        <w:rPr/>
        <w:t>Рассмотрение заявок проводится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bookmarkEnd w:id="306"/>
    </w:p>
    <w:p>
      <w:pPr>
        <w:pStyle w:val="Style23"/>
        <w:numPr>
          <w:ilvl w:val="2"/>
          <w:numId w:val="3"/>
        </w:numPr>
        <w:tabs>
          <w:tab w:val="left" w:pos="1134" w:leader="none"/>
          <w:tab w:val="left" w:pos="4962" w:leader="none"/>
        </w:tabs>
        <w:ind w:left="1134" w:hanging="1134"/>
        <w:rPr/>
      </w:pPr>
      <w:r>
        <w:rPr/>
        <w:t>Заявители не вправе каким-либо способом влиять, участвовать или присутствовать при рассмотрении заявок, а также вступать в контакты с лицами, выполняющими экспертизу заявок.</w:t>
      </w:r>
    </w:p>
    <w:p>
      <w:pPr>
        <w:pStyle w:val="Style23"/>
        <w:numPr>
          <w:ilvl w:val="2"/>
          <w:numId w:val="3"/>
        </w:numPr>
        <w:tabs>
          <w:tab w:val="left" w:pos="1134" w:leader="none"/>
          <w:tab w:val="left" w:pos="4962" w:leader="none"/>
        </w:tabs>
        <w:ind w:left="1134" w:hanging="1134"/>
        <w:rPr/>
      </w:pPr>
      <w:bookmarkStart w:id="307" w:name="_Ref481133127"/>
      <w:r>
        <w:rPr/>
        <w:t>По результатам рассмотрения заявок Комиссия отклоняет несоответствующие заявки по следующим основаниям:</w:t>
      </w:r>
      <w:bookmarkEnd w:id="307"/>
    </w:p>
    <w:p>
      <w:pPr>
        <w:pStyle w:val="Style25"/>
        <w:numPr>
          <w:ilvl w:val="4"/>
          <w:numId w:val="3"/>
        </w:numPr>
        <w:tabs>
          <w:tab w:val="left" w:pos="1844" w:leader="none"/>
          <w:tab w:val="left" w:pos="4962" w:leader="none"/>
        </w:tabs>
        <w:ind w:left="1844" w:hanging="567"/>
        <w:rPr/>
      </w:pPr>
      <w:r>
        <w:rPr/>
        <w:t>несоответствие заявки по составу, содержанию и правильности оформления требованиям Документации о продаже по существу, в том числе наличие недостоверных сведений или намеренно искаженной информации или документов;</w:t>
      </w:r>
    </w:p>
    <w:p>
      <w:pPr>
        <w:pStyle w:val="Style25"/>
        <w:numPr>
          <w:ilvl w:val="4"/>
          <w:numId w:val="3"/>
        </w:numPr>
        <w:tabs>
          <w:tab w:val="left" w:pos="1844" w:leader="none"/>
          <w:tab w:val="left" w:pos="4962" w:leader="none"/>
        </w:tabs>
        <w:ind w:left="1844" w:hanging="567"/>
        <w:rPr/>
      </w:pPr>
      <w:r>
        <w:rPr/>
        <w:t>несоответствие Заявителя требованиям Документации о продаже;</w:t>
      </w:r>
    </w:p>
    <w:p>
      <w:pPr>
        <w:pStyle w:val="Style25"/>
        <w:numPr>
          <w:ilvl w:val="4"/>
          <w:numId w:val="3"/>
        </w:numPr>
        <w:tabs>
          <w:tab w:val="left" w:pos="1844" w:leader="none"/>
          <w:tab w:val="left" w:pos="4962" w:leader="none"/>
        </w:tabs>
        <w:ind w:left="1844" w:hanging="567"/>
        <w:rPr/>
      </w:pPr>
      <w:r>
        <w:rPr/>
        <w:t>несоответствие предлагаемых договорных условий требованиям Документации о продаже;</w:t>
      </w:r>
    </w:p>
    <w:p>
      <w:pPr>
        <w:pStyle w:val="Style25"/>
        <w:numPr>
          <w:ilvl w:val="4"/>
          <w:numId w:val="3"/>
        </w:numPr>
        <w:tabs>
          <w:tab w:val="left" w:pos="1844" w:leader="none"/>
          <w:tab w:val="left" w:pos="4962" w:leader="none"/>
        </w:tabs>
        <w:ind w:left="1844" w:hanging="567"/>
        <w:rPr/>
      </w:pPr>
      <w:r>
        <w:rPr/>
        <w:t>несоответствие размера, формы, условий и порядка предоставления задатка (при наличии задатка).</w:t>
      </w:r>
    </w:p>
    <w:p>
      <w:pPr>
        <w:pStyle w:val="Style23"/>
        <w:numPr>
          <w:ilvl w:val="2"/>
          <w:numId w:val="3"/>
        </w:numPr>
        <w:tabs>
          <w:tab w:val="left" w:pos="1134" w:leader="none"/>
          <w:tab w:val="left" w:pos="4962" w:leader="none"/>
        </w:tabs>
        <w:ind w:left="1134" w:hanging="1134"/>
        <w:rPr/>
      </w:pPr>
      <w:r>
        <w:rPr/>
        <w:t>В ходе рассмотрения заявок Комиссия вправе уточнять заявки на участие в аукционе, а именно - затребовать у Заявителя представленные в нечитаемом виде документы, и направить Заявителю запрос об исправлении выявленных грамматических ошибок в документах, представленных в составе заявки на участие в аукционе.</w:t>
      </w:r>
    </w:p>
    <w:p>
      <w:pPr>
        <w:pStyle w:val="Style23"/>
        <w:numPr>
          <w:ilvl w:val="2"/>
          <w:numId w:val="3"/>
        </w:numPr>
        <w:tabs>
          <w:tab w:val="left" w:pos="1134" w:leader="none"/>
          <w:tab w:val="left" w:pos="4962" w:leader="none"/>
        </w:tabs>
        <w:ind w:left="1134" w:hanging="1134"/>
        <w:rPr/>
      </w:pPr>
      <w:r>
        <w:rPr/>
        <w:t>При уточнении заявок на участие в аукционе не допускается создание преимущественных условий одному или нескольким Заявителям.</w:t>
      </w:r>
    </w:p>
    <w:p>
      <w:pPr>
        <w:pStyle w:val="Style23"/>
        <w:numPr>
          <w:ilvl w:val="2"/>
          <w:numId w:val="3"/>
        </w:numPr>
        <w:tabs>
          <w:tab w:val="left" w:pos="1134" w:leader="none"/>
          <w:tab w:val="left" w:pos="4962" w:leader="none"/>
        </w:tabs>
        <w:ind w:left="1134" w:hanging="1134"/>
        <w:rPr/>
      </w:pPr>
      <w:bookmarkStart w:id="308" w:name="_Ref524098482"/>
      <w:r>
        <w:rPr/>
        <w:t>При наличии сомнений в достоверности копии документа Комиссия вправе запросить для изучения оригинал документа, предоставленного в копии. В случае если Заявитель в установленный в запросе срок не представил оригинал документа, копия документа не рассматривается и документ считается не предоставленным.</w:t>
      </w:r>
      <w:bookmarkEnd w:id="308"/>
    </w:p>
    <w:p>
      <w:pPr>
        <w:pStyle w:val="Style23"/>
        <w:numPr>
          <w:ilvl w:val="2"/>
          <w:numId w:val="3"/>
        </w:numPr>
        <w:tabs>
          <w:tab w:val="left" w:pos="1134" w:leader="none"/>
          <w:tab w:val="left" w:pos="4962" w:leader="none"/>
        </w:tabs>
        <w:ind w:left="1134" w:hanging="1134"/>
        <w:rPr/>
      </w:pPr>
      <w:r>
        <w:rPr/>
        <w:t>Решение Комиссии по рассмотрению заявок оформляется протоколом, в котором, как минимум, указываются:</w:t>
      </w:r>
    </w:p>
    <w:p>
      <w:pPr>
        <w:pStyle w:val="Style25"/>
        <w:numPr>
          <w:ilvl w:val="4"/>
          <w:numId w:val="3"/>
        </w:numPr>
        <w:tabs>
          <w:tab w:val="left" w:pos="1844" w:leader="none"/>
          <w:tab w:val="left" w:pos="4962" w:leader="none"/>
        </w:tabs>
        <w:ind w:left="1844" w:hanging="567"/>
        <w:rPr/>
      </w:pPr>
      <w:r>
        <w:rPr/>
        <w:t>дата подписания протокола;</w:t>
      </w:r>
    </w:p>
    <w:p>
      <w:pPr>
        <w:pStyle w:val="Style25"/>
        <w:numPr>
          <w:ilvl w:val="4"/>
          <w:numId w:val="3"/>
        </w:numPr>
        <w:tabs>
          <w:tab w:val="left" w:pos="1844" w:leader="none"/>
          <w:tab w:val="left" w:pos="4962" w:leader="none"/>
        </w:tabs>
        <w:ind w:left="1844" w:hanging="567"/>
        <w:rPr/>
      </w:pPr>
      <w:r>
        <w:rPr/>
        <w:t>общее количество поступивших заявок, а также дата и время регистрации каждой заявки (по факту последнего изменения заявки);</w:t>
      </w:r>
    </w:p>
    <w:p>
      <w:pPr>
        <w:pStyle w:val="Style25"/>
        <w:numPr>
          <w:ilvl w:val="4"/>
          <w:numId w:val="3"/>
        </w:numPr>
        <w:tabs>
          <w:tab w:val="left" w:pos="1844" w:leader="none"/>
          <w:tab w:val="left" w:pos="4962" w:leader="none"/>
        </w:tabs>
        <w:ind w:left="1844" w:hanging="567"/>
        <w:rPr/>
      </w:pPr>
      <w:r>
        <w:rPr/>
        <w:t>идентификационные номера Заявителей, присваиваемые оператором ЭТП;</w:t>
      </w:r>
    </w:p>
    <w:p>
      <w:pPr>
        <w:pStyle w:val="Style25"/>
        <w:numPr>
          <w:ilvl w:val="4"/>
          <w:numId w:val="3"/>
        </w:numPr>
        <w:tabs>
          <w:tab w:val="left" w:pos="1844" w:leader="none"/>
          <w:tab w:val="left" w:pos="4962" w:leader="none"/>
        </w:tabs>
        <w:ind w:left="1844" w:hanging="567"/>
        <w:rPr/>
      </w:pPr>
      <w:r>
        <w:rPr/>
        <w:t>результаты рассмотрения заявок с указанием, в том числе:</w:t>
      </w:r>
    </w:p>
    <w:p>
      <w:pPr>
        <w:pStyle w:val="Style25"/>
        <w:numPr>
          <w:ilvl w:val="0"/>
          <w:numId w:val="9"/>
        </w:numPr>
        <w:ind w:left="2127" w:hanging="284"/>
        <w:rPr/>
      </w:pPr>
      <w:r>
        <w:rPr/>
        <w:t>количества заявок, которые были отклонены;</w:t>
      </w:r>
    </w:p>
    <w:p>
      <w:pPr>
        <w:pStyle w:val="Style25"/>
        <w:numPr>
          <w:ilvl w:val="0"/>
          <w:numId w:val="9"/>
        </w:numPr>
        <w:ind w:left="2127" w:hanging="284"/>
        <w:rPr/>
      </w:pPr>
      <w:r>
        <w:rPr/>
        <w:t>оснований отклонения каждой заявки с указанием положений Документации о продаже, которым не соответствует такая заявка;</w:t>
      </w:r>
    </w:p>
    <w:p>
      <w:pPr>
        <w:pStyle w:val="Style25"/>
        <w:numPr>
          <w:ilvl w:val="4"/>
          <w:numId w:val="3"/>
        </w:numPr>
        <w:tabs>
          <w:tab w:val="left" w:pos="1844" w:leader="none"/>
          <w:tab w:val="left" w:pos="4962" w:leader="none"/>
        </w:tabs>
        <w:ind w:left="1844" w:hanging="567"/>
        <w:rPr/>
      </w:pPr>
      <w:r>
        <w:rPr/>
        <w:t xml:space="preserve">причины,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Документации о продаже (в случае его признания таковым);</w:t>
      </w:r>
    </w:p>
    <w:p>
      <w:pPr>
        <w:pStyle w:val="Style24"/>
        <w:numPr>
          <w:ilvl w:val="0"/>
          <w:numId w:val="0"/>
        </w:numPr>
        <w:ind w:left="1134" w:hanging="0"/>
        <w:rPr/>
      </w:pPr>
      <w:r>
        <w:rPr/>
        <w:t xml:space="preserve">после чего Организатор продажи официально размещает его в течение 3 (трех) рабочих дней с даты подписания такого протокола, но в любом случае до начала проведения аукциона, установленной п. </w:t>
      </w:r>
      <w:r>
        <w:rPr/>
        <w:fldChar w:fldCharType="begin"/>
      </w:r>
      <w:r>
        <w:rPr/>
        <w:instrText xml:space="preserve"> REF _Ref516229879 \r \h </w:instrText>
      </w:r>
      <w:r>
        <w:rPr/>
        <w:fldChar w:fldCharType="separate"/>
      </w:r>
      <w:r>
        <w:rPr/>
        <w:t>1.2.17</w:t>
      </w:r>
      <w:r>
        <w:rPr/>
        <w:fldChar w:fldCharType="end"/>
      </w:r>
      <w:r>
        <w:rPr/>
        <w:t xml:space="preserve"> Документации о продаже.</w:t>
      </w:r>
    </w:p>
    <w:p>
      <w:pPr>
        <w:pStyle w:val="Style23"/>
        <w:numPr>
          <w:ilvl w:val="2"/>
          <w:numId w:val="3"/>
        </w:numPr>
        <w:tabs>
          <w:tab w:val="left" w:pos="1134" w:leader="none"/>
          <w:tab w:val="left" w:pos="4962" w:leader="none"/>
        </w:tabs>
        <w:ind w:left="1134" w:hanging="1134"/>
        <w:rPr/>
      </w:pPr>
      <w:r>
        <w:rPr/>
        <w:t>При проведении аукциона Заявитель,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w:t>
      </w:r>
    </w:p>
    <w:p>
      <w:pPr>
        <w:pStyle w:val="Heading2"/>
        <w:numPr>
          <w:ilvl w:val="1"/>
          <w:numId w:val="3"/>
        </w:numPr>
        <w:ind w:left="1134" w:hanging="1134"/>
        <w:rPr>
          <w:sz w:val="26"/>
        </w:rPr>
      </w:pPr>
      <w:bookmarkStart w:id="309" w:name="_Ref516966065"/>
      <w:bookmarkStart w:id="310" w:name="_Toc43469249"/>
      <w:bookmarkStart w:id="311" w:name="_Toc525302898"/>
      <w:bookmarkStart w:id="312" w:name="_Toc525302899"/>
      <w:bookmarkEnd w:id="311"/>
      <w:bookmarkEnd w:id="312"/>
      <w:r>
        <w:rPr>
          <w:sz w:val="26"/>
        </w:rPr>
        <w:t>Проведение аукциона</w:t>
      </w:r>
      <w:bookmarkEnd w:id="309"/>
      <w:bookmarkEnd w:id="310"/>
    </w:p>
    <w:p>
      <w:pPr>
        <w:pStyle w:val="Style23"/>
        <w:numPr>
          <w:ilvl w:val="2"/>
          <w:numId w:val="3"/>
        </w:numPr>
        <w:tabs>
          <w:tab w:val="left" w:pos="1134" w:leader="none"/>
          <w:tab w:val="left" w:pos="4962" w:leader="none"/>
        </w:tabs>
        <w:ind w:left="1134" w:hanging="1134"/>
        <w:rPr/>
      </w:pPr>
      <w:r>
        <w:rPr/>
        <w:t xml:space="preserve">Процедура аукциона проводится в дату и время, указанные в п. </w:t>
      </w:r>
      <w:r>
        <w:rPr/>
        <w:fldChar w:fldCharType="begin"/>
      </w:r>
      <w:r>
        <w:rPr/>
        <w:instrText xml:space="preserve"> REF _Ref516229879 \r \h </w:instrText>
      </w:r>
      <w:r>
        <w:rPr/>
        <w:fldChar w:fldCharType="separate"/>
      </w:r>
      <w:r>
        <w:rPr/>
        <w:t>1.2.17</w:t>
      </w:r>
      <w:r>
        <w:rPr/>
        <w:fldChar w:fldCharType="end"/>
      </w:r>
      <w:r>
        <w:rPr/>
        <w:t xml:space="preserve"> Документации о продаже. Организатор продажи по согласованию с Продавцом вправе, при необходимости, изменить данный срок, официально разместив информацию об этом.</w:t>
      </w:r>
    </w:p>
    <w:p>
      <w:pPr>
        <w:pStyle w:val="Style23"/>
        <w:numPr>
          <w:ilvl w:val="2"/>
          <w:numId w:val="3"/>
        </w:numPr>
        <w:tabs>
          <w:tab w:val="left" w:pos="1134" w:leader="none"/>
          <w:tab w:val="left" w:pos="4962" w:leader="none"/>
        </w:tabs>
        <w:ind w:left="1134" w:hanging="1134"/>
        <w:rPr/>
      </w:pPr>
      <w:r>
        <w:rPr/>
        <w:t>В аукционе могут участвовать только Участники аукциона, заявки которых не были отклонены по результатам рассмотрения заявок.</w:t>
      </w:r>
    </w:p>
    <w:p>
      <w:pPr>
        <w:pStyle w:val="Style23"/>
        <w:numPr>
          <w:ilvl w:val="2"/>
          <w:numId w:val="3"/>
        </w:numPr>
        <w:tabs>
          <w:tab w:val="left" w:pos="1134" w:leader="none"/>
          <w:tab w:val="left" w:pos="4962" w:leader="none"/>
        </w:tabs>
        <w:ind w:left="1134" w:hanging="1134"/>
        <w:rPr/>
      </w:pPr>
      <w:r>
        <w:rPr/>
        <w:t>Участники аукциона подают свои ценовые предложения анонимно для других Участников аукциона под присвоенными им Оператором ЭТП идентификационными номерами.</w:t>
      </w:r>
    </w:p>
    <w:p>
      <w:pPr>
        <w:pStyle w:val="Style23"/>
        <w:numPr>
          <w:ilvl w:val="2"/>
          <w:numId w:val="3"/>
        </w:numPr>
        <w:tabs>
          <w:tab w:val="left" w:pos="1134" w:leader="none"/>
          <w:tab w:val="left" w:pos="4962" w:leader="none"/>
        </w:tabs>
        <w:ind w:left="1134" w:hanging="1134"/>
        <w:rPr/>
      </w:pPr>
      <w:r>
        <w:rPr/>
        <w:t>При проведении аукциона устанавливается время приема ценовых предложений участников, составляющее 10 (десять)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23"/>
        <w:numPr>
          <w:ilvl w:val="2"/>
          <w:numId w:val="3"/>
        </w:numPr>
        <w:tabs>
          <w:tab w:val="left" w:pos="1134" w:leader="none"/>
          <w:tab w:val="left" w:pos="4962" w:leader="none"/>
        </w:tabs>
        <w:ind w:left="1134" w:hanging="1134"/>
        <w:rPr/>
      </w:pPr>
      <w:r>
        <w:rPr/>
        <w:t xml:space="preserve">Аукцион проводится путем повышения Участниками аукциона начальной цены продажи, указанной в п. </w:t>
      </w:r>
      <w:r>
        <w:rPr/>
        <w:fldChar w:fldCharType="begin"/>
      </w:r>
      <w:r>
        <w:rPr/>
        <w:instrText xml:space="preserve"> REF _Ref384116250 \r \h </w:instrText>
      </w:r>
      <w:r>
        <w:rPr/>
        <w:fldChar w:fldCharType="separate"/>
      </w:r>
      <w:r>
        <w:rPr/>
        <w:t>1.2.10</w:t>
      </w:r>
      <w:r>
        <w:rPr/>
        <w:fldChar w:fldCharType="end"/>
      </w:r>
      <w:r>
        <w:rPr/>
        <w:t xml:space="preserve"> Документации о продаже, а затем текущей максимальной ценовой ставки – на произвольную величину в пределах на шаг аукциона, установленный в п. </w:t>
      </w:r>
      <w:r>
        <w:rPr/>
        <w:fldChar w:fldCharType="begin"/>
      </w:r>
      <w:r>
        <w:rPr/>
        <w:instrText xml:space="preserve"> REF _Ref516229843 \r \h </w:instrText>
      </w:r>
      <w:r>
        <w:rPr/>
        <w:fldChar w:fldCharType="separate"/>
      </w:r>
      <w:r>
        <w:rPr/>
        <w:t>1.2.11</w:t>
      </w:r>
      <w:r>
        <w:rPr/>
        <w:fldChar w:fldCharType="end"/>
      </w:r>
      <w:r>
        <w:rPr/>
        <w:t xml:space="preserve"> Документации о продаже.</w:t>
      </w:r>
    </w:p>
    <w:p>
      <w:pPr>
        <w:pStyle w:val="Style23"/>
        <w:numPr>
          <w:ilvl w:val="2"/>
          <w:numId w:val="3"/>
        </w:numPr>
        <w:tabs>
          <w:tab w:val="left" w:pos="1134" w:leader="none"/>
          <w:tab w:val="left" w:pos="4962" w:leader="none"/>
        </w:tabs>
        <w:ind w:left="1134" w:hanging="1134"/>
        <w:rPr/>
      </w:pPr>
      <w:r>
        <w:rPr/>
        <w:t>Процедура аукциона проводится однократно, при этом в ходе аукциона Участники аукциона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 аукциона.</w:t>
      </w:r>
    </w:p>
    <w:p>
      <w:pPr>
        <w:pStyle w:val="Style23"/>
        <w:numPr>
          <w:ilvl w:val="2"/>
          <w:numId w:val="3"/>
        </w:numPr>
        <w:tabs>
          <w:tab w:val="left" w:pos="1134" w:leader="none"/>
          <w:tab w:val="left" w:pos="4962" w:leader="none"/>
        </w:tabs>
        <w:ind w:left="1134" w:hanging="1134"/>
        <w:rPr/>
      </w:pPr>
      <w:r>
        <w:rPr/>
        <w:t>Каждая новая ценовая ставка Участника аукциона должна быть больше предыдущей и больше цены, указанной им в заявке, а также не должна равняться нулю.</w:t>
      </w:r>
    </w:p>
    <w:p>
      <w:pPr>
        <w:pStyle w:val="Style23"/>
        <w:numPr>
          <w:ilvl w:val="2"/>
          <w:numId w:val="3"/>
        </w:numPr>
        <w:tabs>
          <w:tab w:val="left" w:pos="1134" w:leader="none"/>
          <w:tab w:val="left" w:pos="4962" w:leader="none"/>
        </w:tabs>
        <w:ind w:left="1134" w:hanging="1134"/>
        <w:rPr/>
      </w:pPr>
      <w:bookmarkStart w:id="313"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w:t>
      </w:r>
      <w:bookmarkEnd w:id="313"/>
      <w:r>
        <w:rPr/>
        <w:t xml:space="preserve"> 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аукциона к участию в нем, а также выполнение предусмотренного Регламентом ЭТП порядка на протяжении всего срока проведения аукциона.</w:t>
      </w:r>
    </w:p>
    <w:p>
      <w:pPr>
        <w:pStyle w:val="Heading2"/>
        <w:numPr>
          <w:ilvl w:val="1"/>
          <w:numId w:val="3"/>
        </w:numPr>
        <w:ind w:left="1134" w:hanging="1134"/>
        <w:rPr>
          <w:sz w:val="26"/>
        </w:rPr>
      </w:pPr>
      <w:bookmarkStart w:id="314" w:name="_Ref536798166"/>
      <w:bookmarkStart w:id="315" w:name="_Toc43469250"/>
      <w:bookmarkStart w:id="316" w:name="_Toc501038074"/>
      <w:bookmarkStart w:id="317" w:name="_Toc502257174"/>
      <w:bookmarkStart w:id="318" w:name="_Toc501038075"/>
      <w:bookmarkStart w:id="319" w:name="_Toc502257175"/>
      <w:bookmarkStart w:id="320" w:name="_Toc501038076"/>
      <w:bookmarkStart w:id="321" w:name="_Toc502257176"/>
      <w:bookmarkStart w:id="322" w:name="_Toc501038077"/>
      <w:bookmarkStart w:id="323" w:name="_Toc502257177"/>
      <w:bookmarkStart w:id="324" w:name="_Toc525302901"/>
      <w:bookmarkStart w:id="325" w:name="_Toc525302903"/>
      <w:bookmarkStart w:id="326" w:name="_Toc525302904"/>
      <w:bookmarkStart w:id="327" w:name="_Toc525302905"/>
      <w:bookmarkStart w:id="328" w:name="_Toc525302915"/>
      <w:bookmarkStart w:id="329" w:name="_Ref324337341"/>
      <w:bookmarkStart w:id="330" w:name="_Ref55304422"/>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Pr>
          <w:sz w:val="26"/>
        </w:rPr>
        <w:t>Оформление результатов аукциона</w:t>
      </w:r>
      <w:bookmarkEnd w:id="314"/>
      <w:bookmarkEnd w:id="315"/>
    </w:p>
    <w:p>
      <w:pPr>
        <w:pStyle w:val="Style23"/>
        <w:numPr>
          <w:ilvl w:val="2"/>
          <w:numId w:val="3"/>
        </w:numPr>
        <w:tabs>
          <w:tab w:val="left" w:pos="1418" w:leader="none"/>
          <w:tab w:val="left" w:pos="4962" w:leader="none"/>
        </w:tabs>
        <w:ind w:left="1418" w:hanging="1560"/>
        <w:rPr/>
      </w:pPr>
      <w:bookmarkStart w:id="331" w:name="_Ref536798162"/>
      <w:r>
        <w:rPr/>
        <w:t>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 </w:t>
      </w:r>
      <w:r>
        <w:rPr/>
        <w:fldChar w:fldCharType="begin"/>
      </w:r>
      <w:r>
        <w:rPr/>
        <w:instrText xml:space="preserve"> REF _Ref536798161 \r \h </w:instrText>
      </w:r>
      <w:r>
        <w:rPr/>
        <w:fldChar w:fldCharType="separate"/>
      </w:r>
      <w:r>
        <w:rPr/>
        <w:t>1.2.18</w:t>
      </w:r>
      <w:r>
        <w:rPr/>
        <w:fldChar w:fldCharType="end"/>
      </w:r>
      <w:r>
        <w:rPr/>
        <w:t xml:space="preserve"> Документации о продаже.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w:t>
      </w:r>
      <w:bookmarkEnd w:id="331"/>
    </w:p>
    <w:p>
      <w:pPr>
        <w:pStyle w:val="Style23"/>
        <w:numPr>
          <w:ilvl w:val="2"/>
          <w:numId w:val="3"/>
        </w:numPr>
        <w:tabs>
          <w:tab w:val="left" w:pos="1418" w:leader="none"/>
          <w:tab w:val="left" w:pos="4962" w:leader="none"/>
        </w:tabs>
        <w:ind w:left="1418" w:hanging="1560"/>
        <w:rPr/>
      </w:pPr>
      <w:r>
        <w:rPr/>
        <w:t>Протокол о результатах аукциона размещается на ЭТП в течение 1 (одного) рабочего дня после его подписания Продавцом (Организатором продажи).</w:t>
      </w:r>
    </w:p>
    <w:p>
      <w:pPr>
        <w:pStyle w:val="Style23"/>
        <w:numPr>
          <w:ilvl w:val="2"/>
          <w:numId w:val="3"/>
        </w:numPr>
        <w:tabs>
          <w:tab w:val="left" w:pos="1418" w:leader="none"/>
          <w:tab w:val="left" w:pos="4962" w:leader="none"/>
        </w:tabs>
        <w:ind w:left="1418" w:hanging="1560"/>
        <w:rPr/>
      </w:pPr>
      <w:bookmarkStart w:id="332" w:name="_Ref524100091"/>
      <w:r>
        <w:rPr/>
        <w:t>Аукцион считается завершенным с момента размещения на ЭТП протокола о признании аукциона не состоявшимся, либо протокола о результатах аукциона.</w:t>
      </w:r>
      <w:bookmarkEnd w:id="332"/>
    </w:p>
    <w:p>
      <w:pPr>
        <w:pStyle w:val="Style23"/>
        <w:numPr>
          <w:ilvl w:val="2"/>
          <w:numId w:val="3"/>
        </w:numPr>
        <w:tabs>
          <w:tab w:val="left" w:pos="1418" w:leader="none"/>
          <w:tab w:val="left" w:pos="4962" w:leader="none"/>
        </w:tabs>
        <w:ind w:left="1418" w:hanging="1560"/>
        <w:rPr/>
      </w:pPr>
      <w:r>
        <w:rPr/>
        <w:t xml:space="preserve">Участник аукциона считается надлежаще уведомленным о возникновении права заключения Договора, а также иных решениях Комиссии с момента размещения на ЭТП протокола, указанного в п. </w:t>
      </w:r>
      <w:r>
        <w:rPr/>
        <w:fldChar w:fldCharType="begin"/>
      </w:r>
      <w:r>
        <w:rPr/>
        <w:instrText xml:space="preserve"> REF _Ref536798162 \r \h </w:instrText>
      </w:r>
      <w:r>
        <w:rPr/>
        <w:fldChar w:fldCharType="separate"/>
      </w:r>
      <w:r>
        <w:rPr/>
        <w:t>5.11.1</w:t>
      </w:r>
      <w:r>
        <w:rPr/>
        <w:fldChar w:fldCharType="end"/>
      </w:r>
      <w:r>
        <w:rPr/>
        <w:t xml:space="preserve"> Документации о продаже.</w:t>
      </w:r>
    </w:p>
    <w:p>
      <w:pPr>
        <w:pStyle w:val="Style23"/>
        <w:numPr>
          <w:ilvl w:val="2"/>
          <w:numId w:val="3"/>
        </w:numPr>
        <w:tabs>
          <w:tab w:val="left" w:pos="1418" w:leader="none"/>
          <w:tab w:val="left" w:pos="4962" w:leader="none"/>
        </w:tabs>
        <w:ind w:left="1418" w:hanging="1560"/>
        <w:rPr/>
      </w:pPr>
      <w:r>
        <w:rP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продажи в том же порядке.</w:t>
      </w:r>
    </w:p>
    <w:p>
      <w:pPr>
        <w:pStyle w:val="Heading2"/>
        <w:numPr>
          <w:ilvl w:val="1"/>
          <w:numId w:val="3"/>
        </w:numPr>
        <w:ind w:left="1134" w:hanging="1134"/>
        <w:rPr>
          <w:sz w:val="26"/>
        </w:rPr>
      </w:pPr>
      <w:bookmarkStart w:id="333" w:name="_Ref514600896"/>
      <w:bookmarkStart w:id="334" w:name="_Toc43469251"/>
      <w:bookmarkStart w:id="335" w:name="_Toc197149942"/>
      <w:bookmarkStart w:id="336" w:name="_Toc197150411"/>
      <w:bookmarkEnd w:id="335"/>
      <w:bookmarkEnd w:id="336"/>
      <w:r>
        <w:rPr>
          <w:sz w:val="26"/>
        </w:rPr>
        <w:t>Признание аукциона несостоявшимся</w:t>
      </w:r>
      <w:bookmarkEnd w:id="333"/>
      <w:bookmarkEnd w:id="334"/>
    </w:p>
    <w:p>
      <w:pPr>
        <w:pStyle w:val="Style23"/>
        <w:numPr>
          <w:ilvl w:val="2"/>
          <w:numId w:val="3"/>
        </w:numPr>
        <w:tabs>
          <w:tab w:val="left" w:pos="1418" w:leader="none"/>
          <w:tab w:val="left" w:pos="4962" w:leader="none"/>
        </w:tabs>
        <w:ind w:left="1418" w:hanging="1560"/>
        <w:rPr/>
      </w:pPr>
      <w:r>
        <w:rPr/>
        <w:t>Аукцион признается несостоявшимся в следующих случаях:</w:t>
      </w:r>
    </w:p>
    <w:p>
      <w:pPr>
        <w:pStyle w:val="Style25"/>
        <w:numPr>
          <w:ilvl w:val="4"/>
          <w:numId w:val="3"/>
        </w:numPr>
        <w:tabs>
          <w:tab w:val="left" w:pos="1844" w:leader="none"/>
          <w:tab w:val="left" w:pos="4962" w:leader="none"/>
        </w:tabs>
        <w:ind w:left="1844" w:hanging="567"/>
        <w:rPr/>
      </w:pPr>
      <w:r>
        <w:rPr/>
        <w:t xml:space="preserve">если </w:t>
      </w:r>
      <w:bookmarkStart w:id="337" w:name="_Hlk515655050"/>
      <w:r>
        <w:rPr/>
        <w:t xml:space="preserve">по окончании срока подачи заявок (п. </w:t>
      </w:r>
      <w:r>
        <w:rPr/>
        <w:fldChar w:fldCharType="begin"/>
      </w:r>
      <w:r>
        <w:rPr/>
        <w:instrText xml:space="preserve"> REF _Ref389823218 \r \h </w:instrText>
      </w:r>
      <w:r>
        <w:rPr/>
        <w:fldChar w:fldCharType="separate"/>
      </w:r>
      <w:r>
        <w:rPr/>
        <w:t>1.2.15</w:t>
      </w:r>
      <w:r>
        <w:rPr/>
        <w:fldChar w:fldCharType="end"/>
      </w:r>
      <w:r>
        <w:rPr/>
        <w:t xml:space="preserve"> Документации о продаже) поступило менее 2 (двух) заявок </w:t>
      </w:r>
      <w:bookmarkEnd w:id="337"/>
      <w:r>
        <w:rPr/>
        <w:t>(с учетом возможных отзывов заявок);</w:t>
      </w:r>
    </w:p>
    <w:p>
      <w:pPr>
        <w:pStyle w:val="Style25"/>
        <w:numPr>
          <w:ilvl w:val="4"/>
          <w:numId w:val="3"/>
        </w:numPr>
        <w:tabs>
          <w:tab w:val="left" w:pos="1844" w:leader="none"/>
          <w:tab w:val="left" w:pos="4962" w:leader="none"/>
        </w:tabs>
        <w:ind w:left="1844" w:hanging="567"/>
        <w:rPr/>
      </w:pPr>
      <w:bookmarkStart w:id="338"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xml:space="preserve"> Документации о продаже) Комиссией принято решение о признании менее 2 (двух) заявок соответствующими требованиям Документации о продаже</w:t>
      </w:r>
      <w:bookmarkEnd w:id="338"/>
      <w:r>
        <w:rPr/>
        <w:t>;</w:t>
      </w:r>
    </w:p>
    <w:p>
      <w:pPr>
        <w:pStyle w:val="Style25"/>
        <w:numPr>
          <w:ilvl w:val="4"/>
          <w:numId w:val="3"/>
        </w:numPr>
        <w:tabs>
          <w:tab w:val="left" w:pos="1844" w:leader="none"/>
          <w:tab w:val="left" w:pos="4962" w:leader="none"/>
        </w:tabs>
        <w:ind w:left="1844" w:hanging="567"/>
        <w:rPr/>
      </w:pPr>
      <w:r>
        <w:rPr/>
        <w:t>ни один из Участников аукциона не подал предложение о цене Договора;</w:t>
      </w:r>
    </w:p>
    <w:p>
      <w:pPr>
        <w:pStyle w:val="Style25"/>
        <w:numPr>
          <w:ilvl w:val="4"/>
          <w:numId w:val="3"/>
        </w:numPr>
        <w:tabs>
          <w:tab w:val="left" w:pos="1844" w:leader="none"/>
          <w:tab w:val="left" w:pos="4962" w:leader="none"/>
        </w:tabs>
        <w:ind w:left="1844" w:hanging="567"/>
        <w:rPr/>
      </w:pPr>
      <w:r>
        <w:rPr/>
        <w:t>победитель аукциона уклонился / отказался от подписания договора.</w:t>
      </w:r>
    </w:p>
    <w:p>
      <w:pPr>
        <w:pStyle w:val="Style23"/>
        <w:numPr>
          <w:ilvl w:val="2"/>
          <w:numId w:val="3"/>
        </w:numPr>
        <w:tabs>
          <w:tab w:val="left" w:pos="1418" w:leader="none"/>
          <w:tab w:val="left" w:pos="4962" w:leader="none"/>
        </w:tabs>
        <w:ind w:left="1418" w:hanging="1560"/>
        <w:rPr/>
      </w:pPr>
      <w:r>
        <w:rPr/>
        <w:t>Указанные обстоятельства в случае их наступления фиксируются в соответствующем протоколе.</w:t>
      </w:r>
    </w:p>
    <w:p>
      <w:pPr>
        <w:pStyle w:val="Style23"/>
        <w:numPr>
          <w:ilvl w:val="2"/>
          <w:numId w:val="3"/>
        </w:numPr>
        <w:tabs>
          <w:tab w:val="left" w:pos="1418" w:leader="none"/>
          <w:tab w:val="left" w:pos="4962" w:leader="none"/>
        </w:tabs>
        <w:ind w:left="1418" w:hanging="1560"/>
        <w:rPr/>
      </w:pPr>
      <w:r>
        <w:rPr/>
        <w:t xml:space="preserve">В случае признания аукциона несостоявшимся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 xml:space="preserve"> Документации о продаже).</w:t>
      </w:r>
    </w:p>
    <w:p>
      <w:pPr>
        <w:pStyle w:val="Heading2"/>
        <w:numPr>
          <w:ilvl w:val="1"/>
          <w:numId w:val="3"/>
        </w:numPr>
        <w:ind w:left="1134" w:hanging="1134"/>
        <w:rPr>
          <w:sz w:val="26"/>
        </w:rPr>
      </w:pPr>
      <w:bookmarkStart w:id="339" w:name="_Toc43469252"/>
      <w:r>
        <w:rPr>
          <w:sz w:val="26"/>
        </w:rPr>
        <w:t>Отказ от проведения (отмена) аукциона</w:t>
      </w:r>
      <w:bookmarkEnd w:id="339"/>
    </w:p>
    <w:p>
      <w:pPr>
        <w:pStyle w:val="Style23"/>
        <w:numPr>
          <w:ilvl w:val="2"/>
          <w:numId w:val="3"/>
        </w:numPr>
        <w:tabs>
          <w:tab w:val="left" w:pos="1418" w:leader="none"/>
          <w:tab w:val="left" w:pos="4962" w:leader="none"/>
        </w:tabs>
        <w:ind w:left="1418" w:hanging="1560"/>
        <w:rPr/>
      </w:pPr>
      <w:r>
        <w:rPr/>
        <w:t xml:space="preserve">Организатор продажи имеет право отказаться от проведения аукциона в любое время, но не позднее чем за три дня до наступления даты его проведения, установленного в п. </w:t>
      </w:r>
      <w:r>
        <w:rPr/>
        <w:fldChar w:fldCharType="begin"/>
      </w:r>
      <w:r>
        <w:rPr/>
        <w:instrText xml:space="preserve"> REF _Ref516229879 \r \h </w:instrText>
      </w:r>
      <w:r>
        <w:rPr/>
        <w:fldChar w:fldCharType="separate"/>
      </w:r>
      <w:r>
        <w:rPr/>
        <w:t>1.2.17</w:t>
      </w:r>
      <w:r>
        <w:rPr/>
        <w:fldChar w:fldCharType="end"/>
      </w:r>
      <w:r>
        <w:rPr/>
        <w:t xml:space="preserve"> Документации о продаже, не неся никакой ответственности перед Участниками или третьими лицами, которым такое действие может принести убытки. </w:t>
      </w:r>
    </w:p>
    <w:p>
      <w:pPr>
        <w:pStyle w:val="Style23"/>
        <w:numPr>
          <w:ilvl w:val="2"/>
          <w:numId w:val="3"/>
        </w:numPr>
        <w:tabs>
          <w:tab w:val="left" w:pos="1418" w:leader="none"/>
          <w:tab w:val="left" w:pos="4962" w:leader="none"/>
        </w:tabs>
        <w:ind w:left="1418" w:hanging="1560"/>
        <w:rPr/>
      </w:pPr>
      <w:bookmarkStart w:id="340" w:name="_Ref56220027"/>
      <w:r>
        <w:rPr/>
        <w:t>Информирование Участников об отказе от аукциона осуществляется в соответствии с Регламентом ЭТП</w:t>
      </w:r>
      <w:bookmarkEnd w:id="340"/>
      <w:r>
        <w:rPr/>
        <w:t>.</w:t>
      </w:r>
    </w:p>
    <w:p>
      <w:pPr>
        <w:pStyle w:val="Heading1"/>
        <w:keepNext w:val="false"/>
        <w:keepLines w:val="false"/>
        <w:pageBreakBefore w:val="false"/>
        <w:widowControl w:val="false"/>
        <w:numPr>
          <w:ilvl w:val="0"/>
          <w:numId w:val="3"/>
        </w:numPr>
        <w:suppressAutoHyphens w:val="false"/>
        <w:jc w:val="center"/>
        <w:rPr>
          <w:sz w:val="28"/>
          <w:szCs w:val="28"/>
        </w:rPr>
      </w:pPr>
      <w:bookmarkStart w:id="341" w:name="_Ref418863007"/>
      <w:bookmarkStart w:id="342" w:name="_Toc43469253"/>
      <w:bookmarkStart w:id="343" w:name="_Ref55280474"/>
      <w:bookmarkStart w:id="344" w:name="_Toc55285356"/>
      <w:bookmarkStart w:id="345" w:name="_Toc55305388"/>
      <w:bookmarkStart w:id="346" w:name="_Toc57314659"/>
      <w:bookmarkStart w:id="347" w:name="_Toc69728973"/>
      <w:r>
        <w:rPr>
          <w:rFonts w:ascii="Times New Roman" w:hAnsi="Times New Roman"/>
          <w:sz w:val="28"/>
          <w:szCs w:val="28"/>
        </w:rPr>
        <w:t>ПОРЯДОК ЗАКЛЮЧЕНИЯ ДОГОВОРА</w:t>
      </w:r>
      <w:bookmarkEnd w:id="341"/>
      <w:bookmarkEnd w:id="342"/>
      <w:bookmarkEnd w:id="343"/>
      <w:bookmarkEnd w:id="344"/>
      <w:bookmarkEnd w:id="345"/>
      <w:bookmarkEnd w:id="346"/>
      <w:bookmarkEnd w:id="347"/>
    </w:p>
    <w:p>
      <w:pPr>
        <w:pStyle w:val="Heading2"/>
        <w:keepNext w:val="false"/>
        <w:widowControl w:val="false"/>
        <w:numPr>
          <w:ilvl w:val="1"/>
          <w:numId w:val="3"/>
        </w:numPr>
        <w:suppressAutoHyphens w:val="false"/>
        <w:ind w:left="1134" w:hanging="1134"/>
        <w:rPr>
          <w:sz w:val="26"/>
        </w:rPr>
      </w:pPr>
      <w:bookmarkStart w:id="348" w:name="_Toc43469254"/>
      <w:r>
        <w:rPr>
          <w:sz w:val="26"/>
        </w:rPr>
        <w:t>Заключение договора</w:t>
      </w:r>
      <w:bookmarkEnd w:id="348"/>
    </w:p>
    <w:p>
      <w:pPr>
        <w:pStyle w:val="Style23"/>
        <w:numPr>
          <w:ilvl w:val="2"/>
          <w:numId w:val="3"/>
        </w:numPr>
        <w:tabs>
          <w:tab w:val="left" w:pos="1418" w:leader="none"/>
          <w:tab w:val="left" w:pos="4962" w:leader="none"/>
        </w:tabs>
        <w:ind w:left="1418" w:hanging="1418"/>
        <w:rPr/>
      </w:pPr>
      <w:bookmarkStart w:id="349" w:name="_Ref524002254"/>
      <w:bookmarkStart w:id="350" w:name="_Ref56222958"/>
      <w:bookmarkStart w:id="351" w:name="_Ref500429479"/>
      <w:r>
        <w:rPr/>
        <w:t xml:space="preserve">Договор купли-продажи между Продавцом и победителем аукциона заключается </w:t>
      </w:r>
      <w:bookmarkEnd w:id="350"/>
      <w:bookmarkEnd w:id="351"/>
      <w:r>
        <w:rPr/>
        <w:t>в течение 20 (двадцати) рабочих дней со дня опубликования протокола о результатах аукциона.</w:t>
      </w:r>
      <w:bookmarkEnd w:id="349"/>
    </w:p>
    <w:p>
      <w:pPr>
        <w:pStyle w:val="Style23"/>
        <w:numPr>
          <w:ilvl w:val="2"/>
          <w:numId w:val="3"/>
        </w:numPr>
        <w:tabs>
          <w:tab w:val="left" w:pos="1418" w:leader="none"/>
          <w:tab w:val="left" w:pos="4962" w:leader="none"/>
        </w:tabs>
        <w:ind w:left="1418" w:hanging="1418"/>
        <w:rPr/>
      </w:pPr>
      <w:r>
        <w:rPr/>
        <w:t>В случае если в соответствии с действующим законодательством РФ и Уставом Продавца потребуется предварительное одобрение заключаемого на предложенных победителем условиях договора компетентными органами управления Продавца (Общим собранием акционеров, Советом директоров и т.п.) или органами государственной власти Российской Федерации, договор с победителем аукциона заключается не позднее чем через 5 (пять) календарных дней с даты указанного одобрения.</w:t>
      </w:r>
    </w:p>
    <w:p>
      <w:pPr>
        <w:pStyle w:val="Style23"/>
        <w:numPr>
          <w:ilvl w:val="2"/>
          <w:numId w:val="3"/>
        </w:numPr>
        <w:tabs>
          <w:tab w:val="left" w:pos="1418" w:leader="none"/>
          <w:tab w:val="left" w:pos="4962" w:leader="none"/>
        </w:tabs>
        <w:ind w:left="1418" w:hanging="1418"/>
        <w:rPr/>
      </w:pPr>
      <w:r>
        <w:rPr/>
        <w:t xml:space="preserve">В целях соблюдения установленного в п. </w:t>
      </w:r>
      <w:r>
        <w:rPr/>
        <w:fldChar w:fldCharType="begin"/>
      </w:r>
      <w:r>
        <w:rPr/>
        <w:instrText xml:space="preserve"> REF _Ref500429479 \r \h </w:instrText>
      </w:r>
      <w:r>
        <w:rPr/>
        <w:fldChar w:fldCharType="separate"/>
      </w:r>
      <w:r>
        <w:rPr/>
        <w:t>6.1.1</w:t>
      </w:r>
      <w:r>
        <w:rPr/>
        <w:fldChar w:fldCharType="end"/>
      </w:r>
      <w:r>
        <w:rPr/>
        <w:t xml:space="preserve"> Документации о продаже срока заключения договора, проект договора может быть направлен Продавцом для подписания победителю аукциона на указанный им в заявке на участие в аукционе адрес электронной почты.</w:t>
      </w:r>
    </w:p>
    <w:p>
      <w:pPr>
        <w:pStyle w:val="Style23"/>
        <w:numPr>
          <w:ilvl w:val="2"/>
          <w:numId w:val="3"/>
        </w:numPr>
        <w:tabs>
          <w:tab w:val="left" w:pos="1418" w:leader="none"/>
          <w:tab w:val="left" w:pos="4962" w:leader="none"/>
        </w:tabs>
        <w:ind w:left="1418" w:hanging="1418"/>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о продаже, в части предмета договора, сроков и порядка оплаты приобретаемого предмета продажи не допускается.</w:t>
      </w:r>
    </w:p>
    <w:p>
      <w:pPr>
        <w:pStyle w:val="Style23"/>
        <w:numPr>
          <w:ilvl w:val="2"/>
          <w:numId w:val="3"/>
        </w:numPr>
        <w:tabs>
          <w:tab w:val="left" w:pos="1418" w:leader="none"/>
          <w:tab w:val="left" w:pos="4962" w:leader="none"/>
        </w:tabs>
        <w:ind w:left="1418" w:hanging="1418"/>
        <w:rPr/>
      </w:pPr>
      <w:r>
        <w:rPr/>
        <w:t>Осуществление действий по государственной регистрации перехода права собственности на предмет продажи от продавца к покупателю, и передача покупателю предмета продажи, происходит в порядке, установленном договором купли-продажи.</w:t>
      </w:r>
    </w:p>
    <w:p>
      <w:pPr>
        <w:pStyle w:val="Heading2"/>
        <w:numPr>
          <w:ilvl w:val="1"/>
          <w:numId w:val="3"/>
        </w:numPr>
        <w:ind w:left="1134" w:hanging="1134"/>
        <w:rPr>
          <w:sz w:val="26"/>
        </w:rPr>
      </w:pPr>
      <w:bookmarkStart w:id="352" w:name="_Toc43469255"/>
      <w:r>
        <w:rPr>
          <w:sz w:val="26"/>
        </w:rPr>
        <w:t>Уклонение Победителя от заключения Договора</w:t>
      </w:r>
      <w:bookmarkEnd w:id="352"/>
    </w:p>
    <w:p>
      <w:pPr>
        <w:pStyle w:val="Style23"/>
        <w:numPr>
          <w:ilvl w:val="2"/>
          <w:numId w:val="3"/>
        </w:numPr>
        <w:tabs>
          <w:tab w:val="left" w:pos="1418" w:leader="none"/>
          <w:tab w:val="left" w:pos="4962" w:leader="none"/>
        </w:tabs>
        <w:ind w:left="1418" w:hanging="1418"/>
        <w:rPr/>
      </w:pPr>
      <w:r>
        <w:rPr/>
        <w:t>В случае если победитель аукциона:</w:t>
      </w:r>
    </w:p>
    <w:p>
      <w:pPr>
        <w:pStyle w:val="Style25"/>
        <w:numPr>
          <w:ilvl w:val="4"/>
          <w:numId w:val="3"/>
        </w:numPr>
        <w:tabs>
          <w:tab w:val="left" w:pos="1844" w:leader="none"/>
          <w:tab w:val="left" w:pos="4962" w:leader="none"/>
        </w:tabs>
        <w:ind w:left="1844" w:hanging="567"/>
        <w:rPr/>
      </w:pPr>
      <w:r>
        <w:rPr/>
        <w:t xml:space="preserve">не подпишет договор в установленный Документацией о продажи срок (п. </w:t>
      </w:r>
      <w:r>
        <w:rPr/>
        <w:fldChar w:fldCharType="begin"/>
      </w:r>
      <w:r>
        <w:rPr/>
        <w:instrText xml:space="preserve"> REF _Ref500429479 \r \h </w:instrText>
      </w:r>
      <w:r>
        <w:rPr/>
        <w:fldChar w:fldCharType="separate"/>
      </w:r>
      <w:r>
        <w:rPr/>
        <w:t>6.1.1</w:t>
      </w:r>
      <w:r>
        <w:rPr/>
        <w:fldChar w:fldCharType="end"/>
      </w:r>
      <w:r>
        <w:rPr/>
        <w:t xml:space="preserve"> Документации о продаже);</w:t>
      </w:r>
    </w:p>
    <w:p>
      <w:pPr>
        <w:pStyle w:val="Style25"/>
        <w:numPr>
          <w:ilvl w:val="4"/>
          <w:numId w:val="3"/>
        </w:numPr>
        <w:tabs>
          <w:tab w:val="left" w:pos="1844" w:leader="none"/>
          <w:tab w:val="left" w:pos="4962" w:leader="none"/>
        </w:tabs>
        <w:ind w:left="1844" w:hanging="567"/>
        <w:rPr/>
      </w:pPr>
      <w:r>
        <w:rPr/>
        <w:t>откажется от подписания договора на условиях аукциона;</w:t>
      </w:r>
    </w:p>
    <w:p>
      <w:pPr>
        <w:pStyle w:val="Style25"/>
        <w:numPr>
          <w:ilvl w:val="4"/>
          <w:numId w:val="3"/>
        </w:numPr>
        <w:tabs>
          <w:tab w:val="left" w:pos="1844" w:leader="none"/>
          <w:tab w:val="left" w:pos="4962" w:leader="none"/>
        </w:tabs>
        <w:ind w:left="1844" w:hanging="567"/>
        <w:rPr/>
      </w:pPr>
      <w:r>
        <w:rPr/>
        <w:t>не выполнит другие условия, прямо предусмотренные Документацией о продаже,</w:t>
      </w:r>
    </w:p>
    <w:p>
      <w:pPr>
        <w:pStyle w:val="Normal"/>
        <w:ind w:left="1418" w:hanging="0"/>
        <w:rPr/>
      </w:pPr>
      <w:r>
        <w:rPr/>
        <w:t>то он признается уклонившимся от заключения договора и утрачивает статус победителя аукциона, а Продавец вправе заключить договор с Участником аукциона, сделавшим предпоследнее предложение о цене договора, и он утрачивает право на заключение указанного договора.</w:t>
      </w:r>
    </w:p>
    <w:p>
      <w:pPr>
        <w:pStyle w:val="Style23"/>
        <w:numPr>
          <w:ilvl w:val="2"/>
          <w:numId w:val="3"/>
        </w:numPr>
        <w:tabs>
          <w:tab w:val="left" w:pos="1418" w:leader="none"/>
          <w:tab w:val="left" w:pos="4962" w:leader="none"/>
        </w:tabs>
        <w:ind w:left="1418" w:hanging="1418"/>
        <w:rPr/>
      </w:pPr>
      <w:r>
        <w:rPr/>
        <w:t>Уклонение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уклонения победителя аукциона от заключения договора купли-продажи. Протокол подписывается членами Комиссии.</w:t>
      </w:r>
    </w:p>
    <w:p>
      <w:pPr>
        <w:pStyle w:val="Style23"/>
        <w:numPr>
          <w:ilvl w:val="2"/>
          <w:numId w:val="3"/>
        </w:numPr>
        <w:tabs>
          <w:tab w:val="left" w:pos="1418" w:leader="none"/>
          <w:tab w:val="left" w:pos="4962" w:leader="none"/>
        </w:tabs>
        <w:ind w:left="1418" w:hanging="1418"/>
        <w:rPr/>
      </w:pPr>
      <w:r>
        <w:rPr/>
        <w:t xml:space="preserve">Организатор продажи в течение 3 (трех) рабочих дней с даты подписания протокола об уклонении от заключения договора купли-продажи передает Участнику аукциона, сделавшему предпоследнее предложение о цене договора, один экземпляр протокола о результатах аукциона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6.1.1</w:t>
      </w:r>
      <w:r>
        <w:rPr/>
        <w:fldChar w:fldCharType="end"/>
      </w:r>
      <w:r>
        <w:rPr/>
        <w:t xml:space="preserve"> Документации о продаже.</w:t>
      </w:r>
    </w:p>
    <w:p>
      <w:pPr>
        <w:pStyle w:val="Heading1"/>
        <w:numPr>
          <w:ilvl w:val="0"/>
          <w:numId w:val="3"/>
        </w:numPr>
        <w:jc w:val="center"/>
        <w:rPr>
          <w:rFonts w:ascii="Times New Roman" w:hAnsi="Times New Roman"/>
          <w:sz w:val="28"/>
          <w:szCs w:val="28"/>
        </w:rPr>
      </w:pPr>
      <w:bookmarkStart w:id="353" w:name="_Toc536798320"/>
      <w:bookmarkStart w:id="354" w:name="_Ref514448879"/>
      <w:bookmarkStart w:id="355" w:name="_Toc69728975"/>
      <w:bookmarkStart w:id="356" w:name="_Toc57314661"/>
      <w:bookmarkStart w:id="357" w:name="_Ref56225121"/>
      <w:bookmarkStart w:id="358" w:name="_Ref56225120"/>
      <w:r>
        <w:rPr>
          <w:rFonts w:ascii="Times New Roman" w:hAnsi="Times New Roman"/>
          <w:sz w:val="28"/>
          <w:szCs w:val="28"/>
        </w:rPr>
        <w:t>ПОРЯДОК ПРИМЕНЕНИЯ ДОПОЛНИТЕЛЬНЫХ ЭЛЕМЕНТОВ АУКЦИОНА</w:t>
      </w:r>
      <w:bookmarkEnd w:id="353"/>
      <w:bookmarkEnd w:id="354"/>
      <w:bookmarkEnd w:id="355"/>
      <w:bookmarkEnd w:id="356"/>
      <w:bookmarkEnd w:id="357"/>
      <w:bookmarkEnd w:id="358"/>
    </w:p>
    <w:p>
      <w:pPr>
        <w:pStyle w:val="Heading2"/>
        <w:keepNext w:val="false"/>
        <w:widowControl w:val="false"/>
        <w:numPr>
          <w:ilvl w:val="1"/>
          <w:numId w:val="3"/>
        </w:numPr>
        <w:suppressAutoHyphens w:val="false"/>
        <w:ind w:left="1134" w:hanging="1134"/>
        <w:rPr>
          <w:sz w:val="26"/>
        </w:rPr>
      </w:pPr>
      <w:bookmarkStart w:id="359" w:name="_Toc536798321"/>
      <w:bookmarkStart w:id="360" w:name="_Toc69728976"/>
      <w:bookmarkStart w:id="361" w:name="_Toc57314662"/>
      <w:bookmarkStart w:id="362" w:name="ДОПОЛНИТЕЛЬНЫЕ_ИНСТРУКЦИИ"/>
      <w:bookmarkEnd w:id="362"/>
      <w:r>
        <w:rPr>
          <w:sz w:val="26"/>
        </w:rPr>
        <w:t>Статус настоящего раздела</w:t>
      </w:r>
      <w:bookmarkEnd w:id="359"/>
      <w:bookmarkEnd w:id="360"/>
      <w:bookmarkEnd w:id="361"/>
    </w:p>
    <w:p>
      <w:pPr>
        <w:pStyle w:val="Style23"/>
        <w:numPr>
          <w:ilvl w:val="2"/>
          <w:numId w:val="3"/>
        </w:numPr>
        <w:tabs>
          <w:tab w:val="left" w:pos="1418" w:leader="none"/>
          <w:tab w:val="left" w:pos="4962" w:leader="none"/>
        </w:tabs>
        <w:ind w:left="1418" w:hanging="1418"/>
        <w:rPr/>
      </w:pPr>
      <w:r>
        <w:rPr/>
        <w:t xml:space="preserve">Настоящий подраздел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Документации о продаже.</w:t>
      </w:r>
    </w:p>
    <w:p>
      <w:pPr>
        <w:pStyle w:val="Style23"/>
        <w:numPr>
          <w:ilvl w:val="2"/>
          <w:numId w:val="3"/>
        </w:numPr>
        <w:tabs>
          <w:tab w:val="left" w:pos="1418" w:leader="none"/>
          <w:tab w:val="left" w:pos="4962" w:leader="none"/>
        </w:tabs>
        <w:ind w:left="1418" w:hanging="1418"/>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Документации о продаже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Heading2"/>
        <w:keepNext w:val="false"/>
        <w:widowControl w:val="false"/>
        <w:numPr>
          <w:ilvl w:val="1"/>
          <w:numId w:val="3"/>
        </w:numPr>
        <w:suppressAutoHyphens w:val="false"/>
        <w:ind w:left="1134" w:hanging="1134"/>
        <w:rPr>
          <w:sz w:val="26"/>
        </w:rPr>
      </w:pPr>
      <w:bookmarkStart w:id="363" w:name="_Toc536798322"/>
      <w:r>
        <w:rPr>
          <w:sz w:val="26"/>
        </w:rPr>
        <w:t>Многолотовая продажа</w:t>
      </w:r>
      <w:bookmarkEnd w:id="363"/>
    </w:p>
    <w:p>
      <w:pPr>
        <w:pStyle w:val="Style23"/>
        <w:numPr>
          <w:ilvl w:val="2"/>
          <w:numId w:val="3"/>
        </w:numPr>
        <w:tabs>
          <w:tab w:val="left" w:pos="1418" w:leader="none"/>
          <w:tab w:val="left" w:pos="4962" w:leader="none"/>
        </w:tabs>
        <w:ind w:left="1418" w:hanging="1418"/>
        <w:rPr/>
      </w:pPr>
      <w:r>
        <w:rPr/>
        <w:t xml:space="preserve">В случае если в п. </w:t>
      </w:r>
      <w:r>
        <w:rPr/>
        <w:fldChar w:fldCharType="begin"/>
      </w:r>
      <w:r>
        <w:rPr/>
        <w:instrText xml:space="preserve"> REF _Ref389745249 \r \h </w:instrText>
      </w:r>
      <w:r>
        <w:rPr/>
        <w:fldChar w:fldCharType="separate"/>
      </w:r>
      <w:r>
        <w:rPr/>
        <w:t>1.2.2</w:t>
      </w:r>
      <w:r>
        <w:rPr/>
        <w:fldChar w:fldCharType="end"/>
      </w:r>
      <w:r>
        <w:rPr/>
        <w:t xml:space="preserve"> Документации о продаже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23"/>
        <w:numPr>
          <w:ilvl w:val="2"/>
          <w:numId w:val="3"/>
        </w:numPr>
        <w:tabs>
          <w:tab w:val="left" w:pos="1418" w:leader="none"/>
          <w:tab w:val="left" w:pos="4962" w:leader="none"/>
        </w:tabs>
        <w:ind w:left="1418" w:hanging="1418"/>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о продаже, решения по каждому лоту принимает одна и та же Комиссия. Любые положения настоящей Документации о продаже, если в них прямо не указан номер конкретного лота, относятся ко всем лотам одновременно. </w:t>
      </w:r>
    </w:p>
    <w:p>
      <w:pPr>
        <w:pStyle w:val="Style23"/>
        <w:numPr>
          <w:ilvl w:val="2"/>
          <w:numId w:val="3"/>
        </w:numPr>
        <w:tabs>
          <w:tab w:val="left" w:pos="1418" w:leader="none"/>
          <w:tab w:val="left" w:pos="4962" w:leader="none"/>
        </w:tabs>
        <w:ind w:left="1418" w:hanging="1418"/>
        <w:rPr/>
      </w:pPr>
      <w:bookmarkStart w:id="364" w:name="_Ref197148729"/>
      <w:r>
        <w:rPr/>
        <w:t>Заявитель может подать заявку на любой лот, любые несколько лотов или все лоты по собственному выбору. При этом не допускается разбиение отдельного лота на части, то есть подача заявки на часть лота по отдельным видам или объемам предмета продажи.</w:t>
      </w:r>
      <w:bookmarkEnd w:id="364"/>
    </w:p>
    <w:p>
      <w:pPr>
        <w:pStyle w:val="Style23"/>
        <w:numPr>
          <w:ilvl w:val="2"/>
          <w:numId w:val="3"/>
        </w:numPr>
        <w:tabs>
          <w:tab w:val="left" w:pos="1418" w:leader="none"/>
          <w:tab w:val="left" w:pos="4962" w:leader="none"/>
        </w:tabs>
        <w:ind w:left="1418" w:hanging="1418"/>
        <w:rPr/>
      </w:pPr>
      <w:r>
        <w:rPr/>
        <w:t xml:space="preserve">В случае подачи заявки на несколько лотов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Документации о продаже должны быть соблюдены следующее требование:</w:t>
      </w:r>
    </w:p>
    <w:p>
      <w:pPr>
        <w:pStyle w:val="Style23"/>
        <w:numPr>
          <w:ilvl w:val="2"/>
          <w:numId w:val="3"/>
        </w:numPr>
        <w:tabs>
          <w:tab w:val="left" w:pos="1418" w:leader="none"/>
          <w:tab w:val="left" w:pos="4962" w:leader="none"/>
        </w:tabs>
        <w:ind w:left="1418" w:hanging="1418"/>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должна содержать указание номера и названия каждого лота, а в качестве общей суммы — сумму по каждому из лотов.</w:t>
      </w:r>
    </w:p>
    <w:p>
      <w:pPr>
        <w:pStyle w:val="Style23"/>
        <w:numPr>
          <w:ilvl w:val="2"/>
          <w:numId w:val="3"/>
        </w:numPr>
        <w:tabs>
          <w:tab w:val="left" w:pos="1418" w:leader="none"/>
          <w:tab w:val="left" w:pos="4962" w:leader="none"/>
        </w:tabs>
        <w:ind w:left="1418" w:hanging="1418"/>
        <w:rPr/>
      </w:pPr>
      <w:r>
        <w:rPr/>
        <w:t xml:space="preserve">В случае если пунктом </w:t>
      </w:r>
      <w:r>
        <w:rPr/>
        <w:fldChar w:fldCharType="begin"/>
      </w:r>
      <w:r>
        <w:rPr/>
        <w:instrText xml:space="preserve"> REF _Ref249865292 \r \h </w:instrText>
      </w:r>
      <w:r>
        <w:rPr/>
        <w:fldChar w:fldCharType="separate"/>
      </w:r>
      <w:r>
        <w:rPr/>
        <w:t>1.2.12</w:t>
      </w:r>
      <w:r>
        <w:rPr/>
        <w:fldChar w:fldCharType="end"/>
      </w:r>
      <w:r>
        <w:rPr/>
        <w:t xml:space="preserve"> Документации о продаже предусмотрен задаток, то он перечисляется по всем лотам, на которые Заявитель подает заявку, отдельно по каждому из лотов. Удержание Организатором продажи задатка может производиться только по тем лотам, на которые Участник аукциона подал заявку и по которым он был признан победителем аукциона.</w:t>
      </w:r>
    </w:p>
    <w:p>
      <w:pPr>
        <w:pStyle w:val="Style23"/>
        <w:numPr>
          <w:ilvl w:val="2"/>
          <w:numId w:val="3"/>
        </w:numPr>
        <w:tabs>
          <w:tab w:val="left" w:pos="1418" w:leader="none"/>
          <w:tab w:val="left" w:pos="4962" w:leader="none"/>
        </w:tabs>
        <w:ind w:left="1418" w:hanging="1418"/>
        <w:rPr/>
      </w:pPr>
      <w:bookmarkStart w:id="365" w:name="_Ref197148723"/>
      <w:bookmarkStart w:id="366" w:name="_Toc69728984"/>
      <w:bookmarkStart w:id="367" w:name="_Toc57314670"/>
      <w:bookmarkStart w:id="368" w:name="_Ref56251910"/>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ее проведения и т.д., осуществляются раздельно и независимо по каждому из лотов. При этом Организатор продажи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 о продаже.</w:t>
      </w:r>
      <w:bookmarkEnd w:id="365"/>
      <w:bookmarkEnd w:id="366"/>
      <w:bookmarkEnd w:id="367"/>
      <w:bookmarkEnd w:id="368"/>
    </w:p>
    <w:p>
      <w:pPr>
        <w:pStyle w:val="Style23"/>
        <w:numPr>
          <w:ilvl w:val="0"/>
          <w:numId w:val="0"/>
        </w:numPr>
        <w:tabs>
          <w:tab w:val="left" w:pos="1418" w:leader="none"/>
          <w:tab w:val="left" w:pos="4962" w:leader="none"/>
        </w:tabs>
        <w:ind w:left="1418" w:hanging="0"/>
        <w:rPr/>
      </w:pPr>
      <w:r>
        <w:rPr/>
      </w:r>
    </w:p>
    <w:p>
      <w:pPr>
        <w:pStyle w:val="Heading1"/>
        <w:numPr>
          <w:ilvl w:val="0"/>
          <w:numId w:val="3"/>
        </w:numPr>
        <w:jc w:val="center"/>
        <w:rPr>
          <w:rFonts w:ascii="Times New Roman" w:hAnsi="Times New Roman"/>
          <w:sz w:val="28"/>
          <w:szCs w:val="28"/>
        </w:rPr>
      </w:pPr>
      <w:bookmarkStart w:id="369" w:name="_Ref55280368"/>
      <w:bookmarkStart w:id="370" w:name="_Toc55285361"/>
      <w:bookmarkStart w:id="371" w:name="_Toc55305390"/>
      <w:bookmarkStart w:id="372" w:name="_Toc57314671"/>
      <w:bookmarkStart w:id="373" w:name="_Toc69728985"/>
      <w:bookmarkStart w:id="374" w:name="_Ref384631716"/>
      <w:bookmarkStart w:id="375" w:name="_Toc43469256"/>
      <w:bookmarkStart w:id="376" w:name="_Toc516961344"/>
      <w:bookmarkStart w:id="377" w:name="_Toc516961490"/>
      <w:bookmarkStart w:id="378" w:name="_Toc516980551"/>
      <w:bookmarkStart w:id="379" w:name="_Toc516961345"/>
      <w:bookmarkStart w:id="380" w:name="_Toc516961491"/>
      <w:bookmarkStart w:id="381" w:name="_Toc516980552"/>
      <w:bookmarkStart w:id="382" w:name="_Toc516961346"/>
      <w:bookmarkStart w:id="383" w:name="_Toc516961492"/>
      <w:bookmarkStart w:id="384" w:name="_Toc516980553"/>
      <w:bookmarkStart w:id="385" w:name="_Toc516961347"/>
      <w:bookmarkStart w:id="386" w:name="_Toc516961493"/>
      <w:bookmarkStart w:id="387" w:name="_Toc516980554"/>
      <w:bookmarkStart w:id="388" w:name="_Toc516961348"/>
      <w:bookmarkStart w:id="389" w:name="_Toc516961494"/>
      <w:bookmarkStart w:id="390" w:name="_Toc516980555"/>
      <w:bookmarkStart w:id="391" w:name="_Toc516961349"/>
      <w:bookmarkStart w:id="392" w:name="_Toc516961495"/>
      <w:bookmarkStart w:id="393" w:name="_Toc516980556"/>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Pr>
          <w:rFonts w:ascii="Times New Roman" w:hAnsi="Times New Roman"/>
          <w:sz w:val="28"/>
          <w:szCs w:val="28"/>
        </w:rPr>
        <w:t>ОБРАЗЦЫ ОСНОВНЫХ ФОРМ ДОКУМЕНТОВ, ВКЛЮЧАЕМЫХ В ЗАЯВКУ</w:t>
      </w:r>
      <w:bookmarkEnd w:id="369"/>
      <w:bookmarkEnd w:id="370"/>
      <w:bookmarkEnd w:id="371"/>
      <w:bookmarkEnd w:id="372"/>
      <w:bookmarkEnd w:id="373"/>
      <w:bookmarkEnd w:id="374"/>
      <w:bookmarkEnd w:id="375"/>
    </w:p>
    <w:p>
      <w:pPr>
        <w:pStyle w:val="Heading2"/>
        <w:numPr>
          <w:ilvl w:val="1"/>
          <w:numId w:val="3"/>
        </w:numPr>
        <w:ind w:left="1134" w:hanging="1134"/>
        <w:rPr>
          <w:sz w:val="28"/>
        </w:rPr>
      </w:pPr>
      <w:bookmarkStart w:id="394" w:name="_Ref417482063"/>
      <w:bookmarkStart w:id="395" w:name="_Toc418077920"/>
      <w:bookmarkStart w:id="396" w:name="_Toc43469257"/>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394"/>
      <w:bookmarkEnd w:id="395"/>
      <w:bookmarkEnd w:id="396"/>
    </w:p>
    <w:p>
      <w:pPr>
        <w:pStyle w:val="Style23"/>
        <w:numPr>
          <w:ilvl w:val="2"/>
          <w:numId w:val="3"/>
        </w:numPr>
        <w:tabs>
          <w:tab w:val="left" w:pos="1134" w:leader="none"/>
          <w:tab w:val="left" w:pos="4962" w:leader="none"/>
        </w:tabs>
        <w:ind w:left="1418" w:hanging="1418"/>
        <w:rPr>
          <w:b/>
        </w:rPr>
      </w:pPr>
      <w:bookmarkStart w:id="397" w:name="_Toc418077921"/>
      <w:r>
        <w:rPr>
          <w:b/>
        </w:rPr>
        <w:t>Форма описи документов</w:t>
      </w:r>
      <w:bookmarkEnd w:id="397"/>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jc w:val="center"/>
        <w:rPr>
          <w:b/>
        </w:rPr>
      </w:pPr>
      <w:r>
        <w:rPr>
          <w:b/>
          <w:caps/>
          <w:spacing w:val="20"/>
          <w:sz w:val="28"/>
        </w:rPr>
        <w:t>ОПИСЬ ДОКУМЕНТОВ</w:t>
      </w:r>
    </w:p>
    <w:p>
      <w:pPr>
        <w:pStyle w:val="Normal"/>
        <w:widowControl w:val="false"/>
        <w:ind w:right="-2" w:hanging="0"/>
        <w:rPr/>
      </w:pPr>
      <w:r>
        <w:rPr/>
      </w:r>
    </w:p>
    <w:p>
      <w:pPr>
        <w:pStyle w:val="Normal"/>
        <w:rPr/>
      </w:pPr>
      <w:r>
        <w:rPr/>
        <w:t>Участник _________________________________________________________________________,</w:t>
      </w:r>
    </w:p>
    <w:p>
      <w:pPr>
        <w:pStyle w:val="Normal"/>
        <w:jc w:val="center"/>
        <w:rPr>
          <w:vertAlign w:val="superscript"/>
        </w:rPr>
      </w:pPr>
      <w:r>
        <w:rPr>
          <w:vertAlign w:val="superscript"/>
        </w:rPr>
        <w:t>(полное наименование Участника с указанием организационно-правовой формы, ИНН)</w:t>
      </w:r>
    </w:p>
    <w:p>
      <w:pPr>
        <w:pStyle w:val="Normal"/>
        <w:spacing w:before="0" w:after="0"/>
        <w:rPr/>
      </w:pPr>
      <w:r>
        <w:rPr/>
        <w:t>зарегистрированный по адресу: _______________________________________________________,</w:t>
      </w:r>
    </w:p>
    <w:p>
      <w:pPr>
        <w:pStyle w:val="Normal"/>
        <w:ind w:left="2268" w:firstLine="567"/>
        <w:jc w:val="center"/>
        <w:rPr>
          <w:vertAlign w:val="superscript"/>
        </w:rPr>
      </w:pPr>
      <w:r>
        <w:rPr>
          <w:vertAlign w:val="superscript"/>
        </w:rPr>
        <w:t>(место нахождения Участника)</w:t>
      </w:r>
    </w:p>
    <w:p>
      <w:pPr>
        <w:pStyle w:val="Normal"/>
        <w:spacing w:before="0" w:after="0"/>
        <w:rPr/>
      </w:pPr>
      <w:r>
        <w:rPr/>
        <w:t>представляет для участия в аукционе на ________________________________________________</w:t>
      </w:r>
    </w:p>
    <w:p>
      <w:pPr>
        <w:pStyle w:val="Normal"/>
        <w:ind w:left="3402" w:firstLine="567"/>
        <w:jc w:val="center"/>
        <w:rPr>
          <w:vertAlign w:val="superscript"/>
        </w:rPr>
      </w:pPr>
      <w:r>
        <w:rPr>
          <w:vertAlign w:val="superscript"/>
        </w:rPr>
        <w:t>(предмет договора)</w:t>
      </w:r>
    </w:p>
    <w:p>
      <w:pPr>
        <w:pStyle w:val="Normal"/>
        <w:spacing w:before="0" w:after="0"/>
        <w:rPr/>
      </w:pPr>
      <w:r>
        <w:rPr/>
        <w:t>нижеперечисленные документы:</w:t>
      </w:r>
    </w:p>
    <w:p>
      <w:pPr>
        <w:pStyle w:val="Normal"/>
        <w:widowControl w:val="false"/>
        <w:ind w:right="-2" w:hanging="0"/>
        <w:rPr/>
      </w:pPr>
      <w:r>
        <w:rPr/>
      </w:r>
    </w:p>
    <w:tbl>
      <w:tblPr>
        <w:tblW w:w="9668"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990"/>
        <w:gridCol w:w="5815"/>
        <w:gridCol w:w="1699"/>
        <w:gridCol w:w="1163"/>
      </w:tblGrid>
      <w:tr>
        <w:trPr>
          <w:tblHeader w:val="true"/>
          <w:trHeight w:val="707" w:hRule="atLeast"/>
        </w:trPr>
        <w:tc>
          <w:tcPr>
            <w:tcW w:w="990"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5815"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 </w:t>
              <w:br/>
              <w:t>наименование файла (при необходимости)</w:t>
            </w:r>
          </w:p>
        </w:tc>
        <w:tc>
          <w:tcPr>
            <w:tcW w:w="1699"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c>
          <w:tcPr>
            <w:tcW w:w="116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5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1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389" w:hRule="atLeast"/>
        </w:trPr>
        <w:tc>
          <w:tcPr>
            <w:tcW w:w="9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2</w:t>
            </w:r>
          </w:p>
        </w:tc>
        <w:tc>
          <w:tcPr>
            <w:tcW w:w="5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1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w:t>
            </w:r>
          </w:p>
        </w:tc>
        <w:tc>
          <w:tcPr>
            <w:tcW w:w="581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1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540" w:hRule="atLeast"/>
        </w:trPr>
        <w:tc>
          <w:tcPr>
            <w:tcW w:w="9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r>
          </w:p>
        </w:tc>
        <w:tc>
          <w:tcPr>
            <w:tcW w:w="751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1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Normal"/>
        <w:tabs>
          <w:tab w:val="clear" w:pos="567"/>
          <w:tab w:val="left" w:pos="993" w:leader="none"/>
        </w:tabs>
        <w:ind w:left="567" w:hanging="0"/>
        <w:rPr/>
      </w:pPr>
      <w:r>
        <w:rPr/>
      </w:r>
    </w:p>
    <w:p>
      <w:pPr>
        <w:pStyle w:val="Normal"/>
        <w:rPr/>
      </w:pPr>
      <w:r>
        <w:rPr/>
        <w:t>____________________________________</w:t>
      </w:r>
    </w:p>
    <w:p>
      <w:pPr>
        <w:pStyle w:val="Normal"/>
        <w:ind w:left="1134" w:right="3684" w:firstLine="567"/>
        <w:jc w:val="left"/>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3"/>
        <w:widowControl w:val="false"/>
        <w:numPr>
          <w:ilvl w:val="2"/>
          <w:numId w:val="3"/>
        </w:numPr>
        <w:tabs>
          <w:tab w:val="left" w:pos="1134" w:leader="none"/>
          <w:tab w:val="left" w:pos="4962" w:leader="none"/>
        </w:tabs>
        <w:ind w:left="1418" w:hanging="1418"/>
        <w:rPr>
          <w:b/>
        </w:rPr>
      </w:pPr>
      <w:bookmarkStart w:id="398" w:name="_Toc418077922"/>
      <w:r>
        <w:rPr>
          <w:b/>
        </w:rPr>
        <w:t>Инструкции по заполнению</w:t>
      </w:r>
      <w:bookmarkEnd w:id="398"/>
    </w:p>
    <w:p>
      <w:pPr>
        <w:pStyle w:val="Style24"/>
        <w:numPr>
          <w:ilvl w:val="3"/>
          <w:numId w:val="3"/>
        </w:numPr>
        <w:rPr/>
      </w:pPr>
      <w:r>
        <w:rPr/>
        <w:t>Опись следует оформить на официальном бланке Участника.</w:t>
      </w:r>
    </w:p>
    <w:p>
      <w:pPr>
        <w:pStyle w:val="Style24"/>
        <w:numPr>
          <w:ilvl w:val="3"/>
          <w:numId w:val="3"/>
        </w:numPr>
        <w:rPr/>
      </w:pPr>
      <w:r>
        <w:rPr/>
        <w:t>Участник должен указать свое полное наименование (с указанием организационно-правовой формы) и место нахождения.</w:t>
      </w:r>
    </w:p>
    <w:p>
      <w:pPr>
        <w:pStyle w:val="Style24"/>
        <w:numPr>
          <w:ilvl w:val="3"/>
          <w:numId w:val="3"/>
        </w:numPr>
        <w:rPr/>
      </w:pPr>
      <w:r>
        <w:rPr/>
        <w:t>Участник должен перечислить и указать объем каждого документа, входящего в состав заявки (в страницах).</w:t>
      </w:r>
      <w:r>
        <w:br w:type="page"/>
      </w:r>
    </w:p>
    <w:p>
      <w:pPr>
        <w:pStyle w:val="Heading2"/>
        <w:keepNext w:val="false"/>
        <w:widowControl w:val="false"/>
        <w:numPr>
          <w:ilvl w:val="1"/>
          <w:numId w:val="3"/>
        </w:numPr>
        <w:ind w:left="1134" w:hanging="1134"/>
        <w:rPr>
          <w:sz w:val="28"/>
        </w:rPr>
      </w:pPr>
      <w:bookmarkStart w:id="399" w:name="_Ref55336310"/>
      <w:bookmarkStart w:id="400" w:name="_Toc57314672"/>
      <w:bookmarkStart w:id="401" w:name="_Toc69728986"/>
      <w:bookmarkStart w:id="402" w:name="_Toc43469258"/>
      <w:bookmarkStart w:id="403" w:name="ФОРМЫ"/>
      <w:bookmarkEnd w:id="403"/>
      <w:r>
        <w:rPr>
          <w:sz w:val="28"/>
        </w:rPr>
        <w:t xml:space="preserve">Заявка на участие в аукционе </w:t>
      </w:r>
      <w:bookmarkStart w:id="404" w:name="_Ref22846535"/>
      <w:r>
        <w:rPr>
          <w:sz w:val="28"/>
        </w:rPr>
        <w:t>(</w:t>
      </w:r>
      <w:bookmarkEnd w:id="404"/>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399"/>
      <w:bookmarkEnd w:id="400"/>
      <w:bookmarkEnd w:id="401"/>
      <w:bookmarkEnd w:id="402"/>
    </w:p>
    <w:p>
      <w:pPr>
        <w:pStyle w:val="Style23"/>
        <w:numPr>
          <w:ilvl w:val="2"/>
          <w:numId w:val="3"/>
        </w:numPr>
        <w:tabs>
          <w:tab w:val="left" w:pos="1134" w:leader="none"/>
          <w:tab w:val="left" w:pos="4962" w:leader="none"/>
        </w:tabs>
        <w:ind w:left="1418" w:hanging="1418"/>
        <w:rPr>
          <w:b/>
        </w:rPr>
      </w:pPr>
      <w:r>
        <w:rPr>
          <w:b/>
        </w:rPr>
        <w:t>Форма заявки на участие в аукционе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_______________ года</w:t>
      </w:r>
    </w:p>
    <w:p>
      <w:pPr>
        <w:pStyle w:val="Normal"/>
        <w:ind w:right="5243" w:hanging="0"/>
        <w:rPr/>
      </w:pPr>
      <w:r>
        <w:rPr/>
        <w:t>№</w:t>
      </w:r>
      <w:r>
        <w:rPr/>
        <w:t>________________________</w:t>
      </w:r>
    </w:p>
    <w:p>
      <w:pPr>
        <w:pStyle w:val="Normal"/>
        <w:jc w:val="center"/>
        <w:rPr>
          <w:b/>
          <w:caps/>
          <w:spacing w:val="20"/>
          <w:sz w:val="28"/>
        </w:rPr>
      </w:pPr>
      <w:r>
        <w:rPr>
          <w:b/>
          <w:caps/>
          <w:spacing w:val="20"/>
          <w:sz w:val="28"/>
        </w:rPr>
        <w:t>заявка на участие в аукционе</w:t>
      </w:r>
    </w:p>
    <w:p>
      <w:pPr>
        <w:pStyle w:val="Normal"/>
        <w:jc w:val="center"/>
        <w:rPr>
          <w:i/>
          <w:i/>
        </w:rPr>
      </w:pPr>
      <w:r>
        <w:rPr>
          <w:i/>
          <w:highlight w:val="lightGray"/>
        </w:rPr>
        <w:t>[включается в состав заявки на участие в аукционе]</w:t>
      </w:r>
    </w:p>
    <w:p>
      <w:pPr>
        <w:pStyle w:val="Normal"/>
        <w:ind w:firstLine="567"/>
        <w:rPr/>
      </w:pPr>
      <w:r>
        <w:rPr/>
        <w:t xml:space="preserve">Изучив Извещение и Документацию о продаже (включая все изменения и разъяснения к ним), и безоговорочно принимая установленные в них требования и условия проведения аукциона, </w:t>
      </w:r>
      <w:r>
        <w:rPr>
          <w:iCs/>
        </w:rPr>
        <w:t xml:space="preserve">Участник аукциона </w:t>
      </w:r>
    </w:p>
    <w:p>
      <w:pPr>
        <w:pStyle w:val="Normal"/>
        <w:rPr/>
      </w:pPr>
      <w:r>
        <w:rPr/>
        <w:t>__________________________________________________________________________________,</w:t>
      </w:r>
    </w:p>
    <w:p>
      <w:pPr>
        <w:pStyle w:val="Normal"/>
        <w:jc w:val="center"/>
        <w:rPr>
          <w:vertAlign w:val="superscript"/>
        </w:rPr>
      </w:pPr>
      <w:r>
        <w:rPr>
          <w:vertAlign w:val="superscript"/>
        </w:rPr>
        <w:t>(полное наименование Участника с указанием организационно-правовой формы, ИНН, КПП, ОГРН)</w:t>
      </w:r>
    </w:p>
    <w:p>
      <w:pPr>
        <w:pStyle w:val="Normal"/>
        <w:rPr/>
      </w:pPr>
      <w:r>
        <w:rPr/>
        <w:t>зарегистрированный по адресу _______________________________________________________,</w:t>
      </w:r>
    </w:p>
    <w:p>
      <w:pPr>
        <w:pStyle w:val="Normal"/>
        <w:ind w:left="2268" w:firstLine="567"/>
        <w:jc w:val="center"/>
        <w:rPr>
          <w:vertAlign w:val="superscript"/>
        </w:rPr>
      </w:pPr>
      <w:r>
        <w:rPr>
          <w:vertAlign w:val="superscript"/>
        </w:rPr>
        <w:t>(место нахождения Участника)</w:t>
      </w:r>
    </w:p>
    <w:p>
      <w:pPr>
        <w:pStyle w:val="Normal"/>
        <w:rPr>
          <w:i/>
          <w:i/>
          <w:shd w:fill="BFBFBF" w:val="clear"/>
        </w:rPr>
      </w:pPr>
      <w:r>
        <w:rPr/>
        <w:t>выражает свою заинтересованность в участии в аукционе на право заключения Договора на:</w:t>
      </w:r>
    </w:p>
    <w:p>
      <w:pPr>
        <w:pStyle w:val="Normal"/>
        <w:rPr/>
      </w:pPr>
      <w:r>
        <w:rPr/>
        <w:t>__________________________________________________________________________________</w:t>
      </w:r>
    </w:p>
    <w:p>
      <w:pPr>
        <w:pStyle w:val="Normal"/>
        <w:jc w:val="center"/>
        <w:rPr>
          <w:vertAlign w:val="superscript"/>
        </w:rPr>
      </w:pPr>
      <w:r>
        <w:rPr>
          <w:vertAlign w:val="superscript"/>
        </w:rPr>
        <w:t>(предмет договора)</w:t>
      </w:r>
    </w:p>
    <w:p>
      <w:pPr>
        <w:pStyle w:val="Normal"/>
        <w:rPr/>
      </w:pPr>
      <w:r>
        <w:rPr/>
        <w:t>на общую сумму</w:t>
      </w:r>
    </w:p>
    <w:tbl>
      <w:tblPr>
        <w:tblW w:w="10314" w:type="dxa"/>
        <w:jc w:val="left"/>
        <w:tblInd w:w="0" w:type="dxa"/>
        <w:tblLayout w:type="fixed"/>
        <w:tblCellMar>
          <w:top w:w="0" w:type="dxa"/>
          <w:left w:w="108" w:type="dxa"/>
          <w:bottom w:w="0" w:type="dxa"/>
          <w:right w:w="108" w:type="dxa"/>
        </w:tblCellMar>
        <w:tblLook w:noVBand="0" w:val="01e0" w:noHBand="0" w:lastColumn="1" w:firstColumn="1" w:lastRow="1" w:firstRow="1"/>
      </w:tblPr>
      <w:tblGrid>
        <w:gridCol w:w="5496"/>
        <w:gridCol w:w="4817"/>
      </w:tblGrid>
      <w:tr>
        <w:trPr>
          <w:cantSplit w:val="true"/>
        </w:trPr>
        <w:tc>
          <w:tcPr>
            <w:tcW w:w="5496" w:type="dxa"/>
            <w:tcBorders/>
          </w:tcPr>
          <w:p>
            <w:pPr>
              <w:pStyle w:val="Normal"/>
              <w:widowControl w:val="false"/>
              <w:spacing w:before="120" w:after="0"/>
              <w:jc w:val="left"/>
              <w:rPr>
                <w:b/>
              </w:rPr>
            </w:pPr>
            <w:r>
              <w:rPr>
                <w:b/>
              </w:rPr>
              <w:t>Итоговая стоимость заявки (первая ценовая ставка в рамках процедуры аукциона*) без НДС, руб.</w:t>
            </w:r>
          </w:p>
        </w:tc>
        <w:tc>
          <w:tcPr>
            <w:tcW w:w="4817" w:type="dxa"/>
            <w:tcBorders/>
          </w:tcPr>
          <w:p>
            <w:pPr>
              <w:pStyle w:val="Normal"/>
              <w:widowControl w:val="false"/>
              <w:spacing w:before="120" w:after="0"/>
              <w:jc w:val="left"/>
              <w:rPr/>
            </w:pPr>
            <w:r>
              <w:rPr/>
              <w:t>___________________________________</w:t>
            </w:r>
          </w:p>
          <w:p>
            <w:pPr>
              <w:pStyle w:val="Normal"/>
              <w:widowControl w:val="false"/>
              <w:jc w:val="left"/>
              <w:rPr>
                <w:b/>
              </w:rPr>
            </w:pPr>
            <w:r>
              <w:rPr>
                <w:b/>
                <w:vertAlign w:val="superscript"/>
              </w:rPr>
              <w:t>(итоговая стоимость, рублей, без НДС)</w:t>
            </w:r>
          </w:p>
        </w:tc>
      </w:tr>
      <w:tr>
        <w:trPr>
          <w:cantSplit w:val="true"/>
        </w:trPr>
        <w:tc>
          <w:tcPr>
            <w:tcW w:w="5496" w:type="dxa"/>
            <w:tcBorders/>
          </w:tcPr>
          <w:p>
            <w:pPr>
              <w:pStyle w:val="Normal"/>
              <w:widowControl w:val="false"/>
              <w:spacing w:before="120" w:after="0"/>
              <w:jc w:val="left"/>
              <w:rPr/>
            </w:pPr>
            <w:r>
              <w:rPr/>
              <w:t>кроме того, НДС, руб.</w:t>
            </w:r>
          </w:p>
        </w:tc>
        <w:tc>
          <w:tcPr>
            <w:tcW w:w="4817" w:type="dxa"/>
            <w:tcBorders/>
          </w:tcPr>
          <w:p>
            <w:pPr>
              <w:pStyle w:val="Normal"/>
              <w:widowControl w:val="false"/>
              <w:spacing w:before="120" w:after="0"/>
              <w:jc w:val="left"/>
              <w:rPr/>
            </w:pPr>
            <w:r>
              <w:rPr/>
              <w:t>___________________________________</w:t>
            </w:r>
          </w:p>
          <w:p>
            <w:pPr>
              <w:pStyle w:val="Normal"/>
              <w:widowControl w:val="false"/>
              <w:jc w:val="left"/>
              <w:rPr/>
            </w:pPr>
            <w:r>
              <w:rPr>
                <w:vertAlign w:val="superscript"/>
              </w:rPr>
              <w:t>(НДС по итоговой стоимости, рублей)</w:t>
            </w:r>
          </w:p>
        </w:tc>
      </w:tr>
      <w:tr>
        <w:trPr>
          <w:cantSplit w:val="true"/>
        </w:trPr>
        <w:tc>
          <w:tcPr>
            <w:tcW w:w="5496" w:type="dxa"/>
            <w:tcBorders/>
          </w:tcPr>
          <w:p>
            <w:pPr>
              <w:pStyle w:val="Normal"/>
              <w:widowControl w:val="false"/>
              <w:spacing w:before="120" w:after="0"/>
              <w:jc w:val="left"/>
              <w:rPr/>
            </w:pPr>
            <w:r>
              <w:rPr/>
              <w:t>итого с НДС, руб.</w:t>
            </w:r>
          </w:p>
        </w:tc>
        <w:tc>
          <w:tcPr>
            <w:tcW w:w="4817" w:type="dxa"/>
            <w:tcBorders/>
          </w:tcPr>
          <w:p>
            <w:pPr>
              <w:pStyle w:val="Normal"/>
              <w:widowControl w:val="false"/>
              <w:spacing w:before="120" w:after="0"/>
              <w:jc w:val="left"/>
              <w:rPr>
                <w:b/>
              </w:rPr>
            </w:pPr>
            <w:r>
              <w:rPr>
                <w:b/>
              </w:rPr>
              <w:t>___________________________________</w:t>
            </w:r>
          </w:p>
          <w:p>
            <w:pPr>
              <w:pStyle w:val="Normal"/>
              <w:widowControl w:val="false"/>
              <w:jc w:val="left"/>
              <w:rPr/>
            </w:pPr>
            <w:r>
              <w:rPr>
                <w:vertAlign w:val="superscript"/>
              </w:rPr>
              <w:t>(полная итоговая стоимость, рублей, с НДС)</w:t>
            </w:r>
          </w:p>
        </w:tc>
      </w:tr>
    </w:tbl>
    <w:p>
      <w:pPr>
        <w:pStyle w:val="Normal"/>
        <w:rPr>
          <w:i/>
          <w:i/>
          <w:highlight w:val="lightGray"/>
          <w:shd w:fill="BFBFBF" w:val="clear"/>
        </w:rPr>
      </w:pPr>
      <w:bookmarkStart w:id="405" w:name="_Hlk532132247"/>
      <w:r>
        <w:rPr>
          <w:i/>
          <w:highlight w:val="lightGray"/>
          <w:shd w:fill="BFBFBF" w:val="clear"/>
        </w:rPr>
        <w:t xml:space="preserve">*ВНИМАНИЕ! Указанная цена заявки может быть выше установленной начальной цены аукциона на любую сумму в пределах «шага аукциона», указанного в </w:t>
      </w:r>
      <w:r>
        <w:rPr>
          <w:i/>
          <w:shd w:fill="BFBFBF" w:val="clear"/>
        </w:rPr>
        <w:t xml:space="preserve">п </w:t>
      </w:r>
      <w:r>
        <w:rPr>
          <w:i/>
          <w:shd w:fill="BFBFBF" w:val="clear"/>
        </w:rPr>
        <w:fldChar w:fldCharType="begin"/>
      </w:r>
      <w:r>
        <w:rPr>
          <w:i/>
          <w:shd w:fill="BFBFBF" w:val="clear"/>
        </w:rPr>
        <w:instrText xml:space="preserve"> REF _Ref516229843 \r \h </w:instrText>
      </w:r>
      <w:r>
        <w:rPr>
          <w:i/>
          <w:shd w:fill="BFBFBF" w:val="clear"/>
        </w:rPr>
        <w:fldChar w:fldCharType="separate"/>
      </w:r>
      <w:r>
        <w:rPr>
          <w:i/>
          <w:shd w:fill="BFBFBF" w:val="clear"/>
        </w:rPr>
        <w:t>1.2.11</w:t>
      </w:r>
      <w:r>
        <w:rPr>
          <w:i/>
          <w:shd w:fill="BFBFBF" w:val="clear"/>
        </w:rPr>
        <w:fldChar w:fldCharType="end"/>
      </w:r>
      <w:r>
        <w:rPr>
          <w:i/>
          <w:shd w:fill="BFBFBF" w:val="clear"/>
        </w:rPr>
        <w:t xml:space="preserve"> </w:t>
      </w:r>
      <w:r>
        <w:rPr>
          <w:i/>
          <w:highlight w:val="lightGray"/>
          <w:shd w:fill="BFBFBF" w:val="clear"/>
        </w:rPr>
        <w:t>Документации о продаже.</w:t>
      </w:r>
      <w:bookmarkEnd w:id="405"/>
    </w:p>
    <w:p>
      <w:pPr>
        <w:pStyle w:val="Normal"/>
        <w:ind w:firstLine="567"/>
        <w:rPr/>
      </w:pPr>
      <w:r>
        <w:rPr/>
        <w:t>Настоящая заявка (в том числе итоговое ценовое предложение по результатам проведения аукциона) имеет правовой статус оферты и действует вплоть до истечения срока, отведенного на заключение Договора, но не менее, чем в течение 90 (девяноста) календарных дней с даты окончания срока подачи заявок, установленной в Документации о продаже.</w:t>
      </w:r>
      <w:bookmarkStart w:id="406" w:name="_Hlt440565644"/>
      <w:bookmarkEnd w:id="406"/>
    </w:p>
    <w:p>
      <w:pPr>
        <w:pStyle w:val="Normal"/>
        <w:ind w:firstLine="567"/>
        <w:rPr>
          <w:i/>
          <w:i/>
          <w:highlight w:val="lightGray"/>
          <w:shd w:fill="BFBFBF" w:val="clear"/>
        </w:rPr>
      </w:pPr>
      <w:r>
        <w:rPr/>
        <w:t>В случае признания аукциона не состоявшимся, указанная ниже цена является первой ценовой ставкой в рамках проведения аукциона.</w:t>
      </w:r>
    </w:p>
    <w:p>
      <w:pPr>
        <w:pStyle w:val="Normal"/>
        <w:tabs>
          <w:tab w:val="clear" w:pos="567"/>
          <w:tab w:val="left" w:pos="993" w:leader="none"/>
        </w:tabs>
        <w:ind w:firstLine="567"/>
        <w:rPr/>
      </w:pPr>
      <w:r>
        <w:rPr/>
        <w:t>Мы ознакомлены с материалами, содержащимися в Документации о продаже и не имеем к ней претензий.</w:t>
      </w:r>
    </w:p>
    <w:p>
      <w:pPr>
        <w:pStyle w:val="Normal"/>
        <w:tabs>
          <w:tab w:val="clear" w:pos="567"/>
          <w:tab w:val="left" w:pos="993" w:leader="none"/>
        </w:tabs>
        <w:ind w:firstLine="567"/>
        <w:rPr/>
      </w:pPr>
      <w:r>
        <w:rPr/>
        <w:t xml:space="preserve">Настоящей заявкой сообщаем, что в отношении </w:t>
      </w:r>
      <w:r>
        <w:rPr>
          <w:iCs/>
        </w:rPr>
        <w:t xml:space="preserve">_____________________________________ </w:t>
      </w:r>
      <w:r>
        <w:rPr>
          <w:i/>
          <w:highlight w:val="lightGray"/>
          <w:shd w:fill="BFBFBF" w:val="clear"/>
        </w:rPr>
        <w:t>(наименование Участника)</w:t>
      </w:r>
      <w:r>
        <w:rPr>
          <w:i/>
        </w:rPr>
        <w:t xml:space="preserve"> </w:t>
      </w:r>
      <w:r>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Tabletext"/>
        <w:ind w:firstLine="567"/>
        <w:rPr>
          <w:sz w:val="26"/>
          <w:szCs w:val="26"/>
        </w:rPr>
      </w:pPr>
      <w:r>
        <w:rPr>
          <w:sz w:val="26"/>
          <w:szCs w:val="26"/>
        </w:rPr>
        <w:t>Также обязуемся не вступать в отношения и/или не совершать какие-либо согласованные действия, которые приводят или могут привести к ограничению конкуренции в рамках аукциона.</w:t>
      </w:r>
    </w:p>
    <w:p>
      <w:pPr>
        <w:pStyle w:val="Normal"/>
        <w:tabs>
          <w:tab w:val="clear" w:pos="567"/>
          <w:tab w:val="left" w:pos="993" w:leader="none"/>
        </w:tabs>
        <w:ind w:firstLine="567"/>
        <w:rPr/>
      </w:pPr>
      <w:r>
        <w:rPr/>
        <w:t>Настоящим гарантируем достоверность представленной нами в заявке информации и подтверждаем право Продавца, не противоречащее требованию формирования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pPr>
        <w:pStyle w:val="Normal"/>
        <w:tabs>
          <w:tab w:val="clear" w:pos="567"/>
          <w:tab w:val="left" w:pos="993" w:leader="none"/>
        </w:tabs>
        <w:ind w:firstLine="567"/>
        <w:rPr/>
      </w:pPr>
      <w:r>
        <w:rPr/>
        <w:t>Мы согласны с тем, что в случае предоставления нами в заявке недостоверных сведений, мы можем быть отклонены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pPr>
        <w:pStyle w:val="Normal"/>
        <w:tabs>
          <w:tab w:val="clear" w:pos="567"/>
          <w:tab w:val="left" w:pos="993" w:leader="none"/>
        </w:tabs>
        <w:ind w:firstLine="567"/>
        <w:rPr/>
      </w:pPr>
      <w:r>
        <w:rPr/>
        <w:t xml:space="preserve">В случае если наши предложения будут признаны лучшими (либо в случае признания аукциона несостоявшимся), мы принимаем на себя обязательства подписать Договор с «______________» </w:t>
      </w:r>
      <w:r>
        <w:rPr>
          <w:highlight w:val="lightGray"/>
          <w:shd w:fill="BFBFBF" w:val="clear"/>
        </w:rPr>
        <w:t>(</w:t>
      </w:r>
      <w:r>
        <w:rPr>
          <w:i/>
          <w:highlight w:val="lightGray"/>
          <w:shd w:fill="BFBFBF" w:val="clear"/>
        </w:rPr>
        <w:t>наименование Продавца</w:t>
      </w:r>
      <w:r>
        <w:rPr>
          <w:highlight w:val="lightGray"/>
          <w:shd w:fill="BFBFBF" w:val="clear"/>
        </w:rPr>
        <w:t>)</w:t>
      </w:r>
      <w:r>
        <w:rPr/>
        <w:t xml:space="preserve"> в соответствии с требованиями Документации о продаже и условиями нашей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Normal"/>
        <w:tabs>
          <w:tab w:val="clear" w:pos="567"/>
          <w:tab w:val="left" w:pos="993" w:leader="none"/>
        </w:tabs>
        <w:ind w:firstLine="567"/>
        <w:rPr/>
      </w:pPr>
      <w:r>
        <w:rPr/>
        <w:t>В случае если наши предложения будут лучшими после предложений Победителя, а Победитель будет признан уклонившимся от заключения Договора, мы обязуемся подписать данный Договор в соответствии с требованиями Документации о продаже и условиями нашей заявки, в том числе итоговым ценовым предложением по результатам проведения аукциона.</w:t>
      </w:r>
    </w:p>
    <w:p>
      <w:pPr>
        <w:pStyle w:val="Normal"/>
        <w:tabs>
          <w:tab w:val="clear" w:pos="567"/>
          <w:tab w:val="left" w:pos="993" w:leader="none"/>
        </w:tabs>
        <w:ind w:firstLine="567"/>
        <w:rPr/>
      </w:pPr>
      <w:r>
        <w:rPr/>
        <w:t>Сообщаем, что для оперативного уведомления нас по вопросам организационного характера и взаимодействия с Продавцом нами уполномочен</w:t>
      </w:r>
    </w:p>
    <w:p>
      <w:pPr>
        <w:pStyle w:val="Normal"/>
        <w:tabs>
          <w:tab w:val="clear" w:pos="567"/>
          <w:tab w:val="left" w:pos="993" w:leader="none"/>
        </w:tabs>
        <w:ind w:firstLine="567"/>
        <w:rPr/>
      </w:pPr>
      <w:r>
        <w:rPr/>
        <w:t>______________________________________________________________________________</w:t>
      </w:r>
    </w:p>
    <w:p>
      <w:pPr>
        <w:pStyle w:val="Normal"/>
        <w:tabs>
          <w:tab w:val="clear" w:pos="567"/>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567"/>
          <w:tab w:val="left" w:pos="993" w:leader="none"/>
        </w:tabs>
        <w:ind w:firstLine="567"/>
        <w:rPr/>
      </w:pPr>
      <w:r>
        <w:rPr/>
        <w:t xml:space="preserve">Все сведения о проведении аукциона просим сообщать указанному уполномоченному лицу. Подтверждаем, что направляемая Продавцом (Организатором) и поступившая информация на указанный адрес электронной почты уполномоченного лица считается адресованной и полученной непосредственно ______________ </w:t>
      </w:r>
      <w:r>
        <w:rPr>
          <w:i/>
          <w:highlight w:val="lightGray"/>
          <w:shd w:fill="BFBFBF" w:val="clear"/>
        </w:rPr>
        <w:t>(наименование Участника)</w:t>
      </w:r>
      <w:r>
        <w:rPr/>
        <w:t>.</w:t>
      </w:r>
    </w:p>
    <w:p>
      <w:pPr>
        <w:pStyle w:val="Normal"/>
        <w:tabs>
          <w:tab w:val="clear" w:pos="567"/>
          <w:tab w:val="left" w:pos="993" w:leader="none"/>
        </w:tabs>
        <w:ind w:firstLine="567"/>
        <w:rPr/>
      </w:pPr>
      <w:r>
        <w:rPr/>
        <w:t>Я, нижеподписавшийся, 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left="567" w:right="3684" w:hanging="0"/>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23"/>
        <w:widowControl w:val="false"/>
        <w:numPr>
          <w:ilvl w:val="2"/>
          <w:numId w:val="3"/>
        </w:numPr>
        <w:tabs>
          <w:tab w:val="left" w:pos="1134" w:leader="none"/>
          <w:tab w:val="left" w:pos="4962" w:leader="none"/>
        </w:tabs>
        <w:ind w:left="1418" w:hanging="1418"/>
        <w:rPr>
          <w:b/>
        </w:rPr>
      </w:pPr>
      <w:r>
        <w:rPr>
          <w:b/>
        </w:rPr>
        <w:t>Инструкции по заполнению</w:t>
      </w:r>
    </w:p>
    <w:p>
      <w:pPr>
        <w:pStyle w:val="Style24"/>
        <w:numPr>
          <w:ilvl w:val="3"/>
          <w:numId w:val="3"/>
        </w:numPr>
        <w:rPr/>
      </w:pPr>
      <w:r>
        <w:rPr/>
        <w:t>Заявку следует оформить на официальном бланке Участника. Участник присваивает заявке дату и номер в соответствии с принятыми у него правилами документооборота.</w:t>
      </w:r>
    </w:p>
    <w:p>
      <w:pPr>
        <w:pStyle w:val="Style24"/>
        <w:numPr>
          <w:ilvl w:val="3"/>
          <w:numId w:val="3"/>
        </w:numPr>
        <w:rPr/>
      </w:pPr>
      <w:r>
        <w:rPr/>
        <w:t>Участник должен указать свое полное наименование (с указанием организационно-правовой формы) и место нахождения, ИНН, КПП, ОГРН.</w:t>
      </w:r>
    </w:p>
    <w:p>
      <w:pPr>
        <w:pStyle w:val="Style24"/>
        <w:numPr>
          <w:ilvl w:val="3"/>
          <w:numId w:val="3"/>
        </w:numPr>
        <w:rPr/>
      </w:pPr>
      <w:r>
        <w:rPr/>
        <w:t>Заявка на участие в аукционе должна быть подписана и скреплена печатью (при наличии).</w:t>
      </w:r>
      <w:r>
        <w:br w:type="page"/>
      </w:r>
    </w:p>
    <w:p>
      <w:pPr>
        <w:pStyle w:val="Style23"/>
        <w:widowControl w:val="false"/>
        <w:numPr>
          <w:ilvl w:val="2"/>
          <w:numId w:val="3"/>
        </w:numPr>
        <w:tabs>
          <w:tab w:val="left" w:pos="1134" w:leader="none"/>
          <w:tab w:val="left" w:pos="4962" w:leader="none"/>
        </w:tabs>
        <w:ind w:left="1418" w:hanging="1418"/>
        <w:rPr>
          <w:b/>
        </w:rPr>
      </w:pPr>
      <w:bookmarkStart w:id="407" w:name="_Ref524517014"/>
      <w:bookmarkStart w:id="408" w:name="_Ref34763774"/>
      <w:bookmarkEnd w:id="408"/>
      <w:r>
        <w:rPr>
          <w:b/>
        </w:rPr>
        <w:t>Форма согласия Заявителя на приобретение предмета продажи</w:t>
      </w:r>
      <w:bookmarkEnd w:id="407"/>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_______________ года</w:t>
      </w:r>
    </w:p>
    <w:p>
      <w:pPr>
        <w:pStyle w:val="Normal"/>
        <w:ind w:right="5243" w:hanging="0"/>
        <w:rPr/>
      </w:pPr>
      <w:r>
        <w:rPr/>
        <w:t>№</w:t>
      </w:r>
      <w:r>
        <w:rPr/>
        <w:t>________________________</w:t>
      </w:r>
    </w:p>
    <w:p>
      <w:pPr>
        <w:pStyle w:val="Normal"/>
        <w:ind w:right="5243" w:hanging="0"/>
        <w:rPr/>
      </w:pPr>
      <w:r>
        <w:rPr/>
      </w:r>
    </w:p>
    <w:p>
      <w:pPr>
        <w:pStyle w:val="Normal"/>
        <w:jc w:val="center"/>
        <w:rPr>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 xml:space="preserve">Изучив Извещение и Документацию о продаже (включая все изменения и разъяснения к ним), и безоговорочно принимая установленные в них требования и условия проведения аукциона выражаем свою заинтересованность в участии в аукционе на право заключения Договора на </w:t>
      </w:r>
      <w:r>
        <w:rPr>
          <w:i/>
          <w:highlight w:val="lightGray"/>
          <w:shd w:fill="BFBFBF" w:val="clear"/>
        </w:rPr>
        <w:t>[</w:t>
      </w:r>
      <w:r>
        <w:rPr>
          <w:rStyle w:val="Style4"/>
          <w:b w:val="false"/>
          <w:highlight w:val="lightGray"/>
          <w:shd w:fill="BFBFBF" w:val="clear"/>
        </w:rPr>
        <w:t>указывается предмет Договора</w:t>
      </w:r>
      <w:r>
        <w:rPr>
          <w:i/>
          <w:highlight w:val="lightGray"/>
          <w:shd w:fill="BFBFBF" w:val="clear"/>
        </w:rPr>
        <w:t>]</w:t>
      </w:r>
      <w:r>
        <w:rPr>
          <w:i/>
          <w:shd w:fill="BFBFBF" w:val="clear"/>
        </w:rPr>
        <w:t xml:space="preserve"> </w:t>
      </w:r>
      <w:r>
        <w:rPr/>
        <w:t>и приобретении предмета продажи.</w:t>
      </w:r>
      <w:bookmarkStart w:id="409" w:name="_Toc515659240"/>
      <w:bookmarkStart w:id="410" w:name="_Toc515659241"/>
      <w:bookmarkStart w:id="411" w:name="_Toc515659242"/>
      <w:bookmarkStart w:id="412" w:name="_Toc515659243"/>
      <w:bookmarkStart w:id="413" w:name="_Toc515659244"/>
      <w:bookmarkStart w:id="414" w:name="_Toc515659245"/>
      <w:bookmarkStart w:id="415" w:name="_Toc515659246"/>
      <w:bookmarkStart w:id="416" w:name="_Toc515659247"/>
      <w:bookmarkStart w:id="417" w:name="_Toc515659248"/>
      <w:bookmarkStart w:id="418" w:name="_Toc515659249"/>
      <w:bookmarkStart w:id="419" w:name="_Toc515659250"/>
      <w:bookmarkStart w:id="420" w:name="_Toc515659251"/>
      <w:bookmarkStart w:id="421" w:name="_Toc515659252"/>
      <w:bookmarkStart w:id="422" w:name="_Toc515659253"/>
      <w:bookmarkStart w:id="423" w:name="_Toc515659254"/>
      <w:bookmarkStart w:id="424" w:name="_Toc515659255"/>
      <w:bookmarkStart w:id="425" w:name="_Toc515659256"/>
      <w:bookmarkStart w:id="426" w:name="_Toc515659257"/>
      <w:bookmarkStart w:id="427" w:name="_Toc515659258"/>
      <w:bookmarkStart w:id="428" w:name="_Toc515659259"/>
      <w:bookmarkStart w:id="429" w:name="_Toc515659308"/>
      <w:bookmarkStart w:id="430" w:name="_Toc515659320"/>
      <w:bookmarkStart w:id="431" w:name="_Toc515659363"/>
      <w:bookmarkStart w:id="432" w:name="_Toc515659364"/>
      <w:bookmarkStart w:id="433" w:name="_Toc515659365"/>
      <w:bookmarkStart w:id="434" w:name="_Toc515659366"/>
      <w:bookmarkStart w:id="435" w:name="_Toc515659367"/>
      <w:bookmarkStart w:id="436" w:name="_Toc515659368"/>
      <w:bookmarkStart w:id="437" w:name="_Toc515659369"/>
      <w:bookmarkStart w:id="438" w:name="_Toc515659370"/>
      <w:bookmarkStart w:id="439" w:name="_Toc515659371"/>
      <w:bookmarkStart w:id="440" w:name="_Toc515659372"/>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Heading1"/>
        <w:numPr>
          <w:ilvl w:val="0"/>
          <w:numId w:val="0"/>
        </w:numPr>
        <w:ind w:left="0" w:hanging="0"/>
        <w:jc w:val="center"/>
        <w:rPr>
          <w:rFonts w:ascii="Times New Roman" w:hAnsi="Times New Roman"/>
          <w:sz w:val="28"/>
          <w:szCs w:val="28"/>
        </w:rPr>
      </w:pPr>
      <w:bookmarkStart w:id="441" w:name="_Toc43469259"/>
      <w:bookmarkStart w:id="442" w:name="_Toc502257230"/>
      <w:bookmarkStart w:id="443" w:name="_Toc502257231"/>
      <w:bookmarkStart w:id="444" w:name="_Toc502257232"/>
      <w:bookmarkStart w:id="445" w:name="_Toc502257233"/>
      <w:bookmarkStart w:id="446" w:name="_Toc502257234"/>
      <w:bookmarkStart w:id="447" w:name="_Toc502257235"/>
      <w:bookmarkStart w:id="448" w:name="_Toc502257236"/>
      <w:bookmarkStart w:id="449" w:name="_Toc502257237"/>
      <w:bookmarkStart w:id="450" w:name="_Toc502257238"/>
      <w:bookmarkStart w:id="451" w:name="_Toc502257239"/>
      <w:bookmarkStart w:id="452" w:name="_Toc502257240"/>
      <w:bookmarkStart w:id="453" w:name="_Toc502257241"/>
      <w:bookmarkStart w:id="454" w:name="_Toc502257242"/>
      <w:bookmarkStart w:id="455" w:name="_Toc502257243"/>
      <w:bookmarkStart w:id="456" w:name="_Toc502257244"/>
      <w:bookmarkStart w:id="457" w:name="_Toc502257245"/>
      <w:bookmarkStart w:id="458" w:name="_Toc502257246"/>
      <w:bookmarkStart w:id="459" w:name="_Toc502257247"/>
      <w:bookmarkStart w:id="460" w:name="_Toc502257248"/>
      <w:bookmarkStart w:id="461" w:name="_Toc502257249"/>
      <w:bookmarkStart w:id="462" w:name="_Toc501038136"/>
      <w:bookmarkStart w:id="463" w:name="_Toc502257250"/>
      <w:bookmarkStart w:id="464" w:name="_Toc501038137"/>
      <w:bookmarkStart w:id="465" w:name="_Toc50225725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Pr>
          <w:rFonts w:ascii="Times New Roman" w:hAnsi="Times New Roman"/>
          <w:sz w:val="28"/>
          <w:szCs w:val="28"/>
        </w:rPr>
        <w:t xml:space="preserve">Извещение о проведении аукциона на повышение </w:t>
        <w:br/>
        <w:t>по продаже имущества ПАО «РусГидро»</w:t>
      </w:r>
      <w:bookmarkEnd w:id="441"/>
    </w:p>
    <w:tbl>
      <w:tblPr>
        <w:tblW w:w="10206"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817"/>
        <w:gridCol w:w="2552"/>
        <w:gridCol w:w="6020"/>
        <w:gridCol w:w="816"/>
      </w:tblGrid>
      <w:tr>
        <w:trPr/>
        <w:tc>
          <w:tcPr>
            <w:tcW w:w="817" w:type="dxa"/>
            <w:tcBorders/>
            <w:vAlign w:val="center"/>
          </w:tcPr>
          <w:p>
            <w:pPr>
              <w:pStyle w:val="Normal"/>
              <w:widowControl w:val="false"/>
              <w:spacing w:before="120" w:after="0"/>
              <w:jc w:val="center"/>
              <w:rPr>
                <w:b/>
              </w:rPr>
            </w:pPr>
            <w:r>
              <w:rPr>
                <w:b/>
              </w:rPr>
              <w:t>№</w:t>
            </w:r>
            <w:r>
              <w:rPr>
                <w:b/>
              </w:rPr>
              <w:br/>
              <w:t>п/п</w:t>
            </w:r>
          </w:p>
        </w:tc>
        <w:tc>
          <w:tcPr>
            <w:tcW w:w="2552" w:type="dxa"/>
            <w:tcBorders/>
            <w:vAlign w:val="center"/>
          </w:tcPr>
          <w:p>
            <w:pPr>
              <w:pStyle w:val="Normal"/>
              <w:widowControl w:val="false"/>
              <w:spacing w:before="120" w:after="0"/>
              <w:jc w:val="center"/>
              <w:rPr>
                <w:b/>
              </w:rPr>
            </w:pPr>
            <w:r>
              <w:rPr>
                <w:b/>
              </w:rPr>
              <w:t>Наименование</w:t>
            </w:r>
          </w:p>
        </w:tc>
        <w:tc>
          <w:tcPr>
            <w:tcW w:w="6836" w:type="dxa"/>
            <w:gridSpan w:val="2"/>
            <w:tcBorders/>
            <w:vAlign w:val="center"/>
          </w:tcPr>
          <w:p>
            <w:pPr>
              <w:pStyle w:val="Normal"/>
              <w:widowControl w:val="false"/>
              <w:spacing w:before="120" w:after="0"/>
              <w:jc w:val="center"/>
              <w:rPr>
                <w:b/>
              </w:rPr>
            </w:pPr>
            <w:r>
              <w:rPr>
                <w:b/>
              </w:rPr>
              <w:t>Содержание пункта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rPr>
            </w:pPr>
            <w:r>
              <w:rPr/>
              <w:t>Способ продажи</w:t>
            </w:r>
          </w:p>
        </w:tc>
        <w:tc>
          <w:tcPr>
            <w:tcW w:w="6020" w:type="dxa"/>
            <w:tcBorders/>
          </w:tcPr>
          <w:p>
            <w:pPr>
              <w:pStyle w:val="Normal"/>
              <w:widowControl w:val="false"/>
              <w:spacing w:before="120" w:after="120"/>
              <w:rPr/>
            </w:pPr>
            <w:r>
              <w:rPr/>
              <w:t>Аукцион на повышение (далее также – аукцион).</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Продавец </w:t>
            </w:r>
          </w:p>
        </w:tc>
        <w:tc>
          <w:tcPr>
            <w:tcW w:w="6020" w:type="dxa"/>
            <w:tcBorders/>
          </w:tcPr>
          <w:p>
            <w:pPr>
              <w:pStyle w:val="Tableheader"/>
              <w:widowControl w:val="false"/>
              <w:spacing w:before="0" w:after="0"/>
              <w:rPr>
                <w:b w:val="false"/>
                <w:sz w:val="26"/>
                <w:szCs w:val="26"/>
              </w:rPr>
            </w:pPr>
            <w:r>
              <w:rPr>
                <w:b w:val="false"/>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pPr>
              <w:pStyle w:val="Tableheader"/>
              <w:widowControl w:val="false"/>
              <w:spacing w:before="0" w:after="0"/>
              <w:rPr>
                <w:b w:val="false"/>
                <w:sz w:val="26"/>
                <w:szCs w:val="26"/>
              </w:rPr>
            </w:pPr>
            <w:r>
              <w:rPr>
                <w:b w:val="false"/>
                <w:sz w:val="26"/>
                <w:szCs w:val="26"/>
              </w:rPr>
              <w:t>ОГРН 1042401810494</w:t>
            </w:r>
          </w:p>
          <w:p>
            <w:pPr>
              <w:pStyle w:val="Tableheader"/>
              <w:widowControl w:val="false"/>
              <w:spacing w:before="0" w:after="0"/>
              <w:rPr>
                <w:b w:val="false"/>
                <w:sz w:val="26"/>
                <w:szCs w:val="26"/>
              </w:rPr>
            </w:pPr>
            <w:r>
              <w:rPr>
                <w:b w:val="false"/>
                <w:sz w:val="26"/>
                <w:szCs w:val="26"/>
              </w:rPr>
              <w:t>ИНН 2460066195</w:t>
            </w:r>
          </w:p>
          <w:p>
            <w:pPr>
              <w:pStyle w:val="Normal"/>
              <w:widowControl w:val="false"/>
              <w:tabs>
                <w:tab w:val="clear" w:pos="567"/>
                <w:tab w:val="left" w:pos="1134" w:leader="none"/>
              </w:tabs>
              <w:rPr/>
            </w:pPr>
            <w:r>
              <w:rPr/>
            </w:r>
          </w:p>
          <w:p>
            <w:pPr>
              <w:pStyle w:val="Normal"/>
              <w:widowControl w:val="false"/>
              <w:tabs>
                <w:tab w:val="clear" w:pos="567"/>
                <w:tab w:val="left" w:pos="1134" w:leader="none"/>
              </w:tabs>
              <w:rPr/>
            </w:pPr>
            <w:r>
              <w:rPr/>
              <w:t xml:space="preserve">Место нахождения: 660017, Красноярский край, </w:t>
              <w:br/>
              <w:t>г. Красноярск, ул. Дубровинского, д.43, стр. 1.</w:t>
            </w:r>
          </w:p>
          <w:p>
            <w:pPr>
              <w:pStyle w:val="Normal"/>
              <w:widowControl w:val="false"/>
              <w:tabs>
                <w:tab w:val="clear" w:pos="567"/>
                <w:tab w:val="left" w:pos="1134" w:leader="none"/>
              </w:tabs>
              <w:rPr/>
            </w:pPr>
            <w:r>
              <w:rPr/>
              <w:t>Почтовый адрес: 676244, Амурская область, г. Зея</w:t>
            </w:r>
          </w:p>
          <w:p>
            <w:pPr>
              <w:pStyle w:val="Normal"/>
              <w:widowControl w:val="false"/>
              <w:tabs>
                <w:tab w:val="clear" w:pos="567"/>
                <w:tab w:val="left" w:pos="1134" w:leader="none"/>
              </w:tabs>
              <w:rPr/>
            </w:pPr>
            <w:r>
              <w:rPr/>
              <w:t>Адрес электронной почты: zges@rushydro.ru</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(41658) 2-45-31</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66" w:name="_Ref514805111"/>
            <w:bookmarkStart w:id="467" w:name="_Ref514805111"/>
            <w:bookmarkEnd w:id="467"/>
          </w:p>
        </w:tc>
        <w:tc>
          <w:tcPr>
            <w:tcW w:w="2552" w:type="dxa"/>
            <w:tcBorders/>
          </w:tcPr>
          <w:p>
            <w:pPr>
              <w:pStyle w:val="Normal"/>
              <w:widowControl w:val="false"/>
              <w:spacing w:before="120" w:after="0"/>
              <w:jc w:val="left"/>
              <w:rPr/>
            </w:pPr>
            <w:r>
              <w:rPr/>
              <w:t xml:space="preserve">Организатор продажи </w:t>
            </w:r>
          </w:p>
        </w:tc>
        <w:tc>
          <w:tcPr>
            <w:tcW w:w="6020" w:type="dxa"/>
            <w:tcBorders/>
          </w:tcPr>
          <w:p>
            <w:pPr>
              <w:pStyle w:val="Normal"/>
              <w:widowControl w:val="false"/>
              <w:spacing w:before="120" w:after="0"/>
              <w:rPr/>
            </w:pPr>
            <w:r>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«Зейская ГЭС» (Филиал ПАО «РусГидро» - «Зейская ГЭС»)</w:t>
            </w:r>
          </w:p>
          <w:p>
            <w:pPr>
              <w:pStyle w:val="Tableheader"/>
              <w:widowControl w:val="false"/>
              <w:rPr>
                <w:b w:val="false"/>
                <w:sz w:val="26"/>
                <w:szCs w:val="26"/>
              </w:rPr>
            </w:pPr>
            <w:r>
              <w:rPr>
                <w:b w:val="false"/>
                <w:sz w:val="26"/>
                <w:szCs w:val="26"/>
              </w:rPr>
              <w:t xml:space="preserve">Место нахождения: 676244, Амурская область, </w:t>
              <w:br/>
              <w:t>г. Зея.</w:t>
            </w:r>
          </w:p>
          <w:p>
            <w:pPr>
              <w:pStyle w:val="Tableheader"/>
              <w:widowControl w:val="false"/>
              <w:rPr>
                <w:b w:val="false"/>
                <w:sz w:val="26"/>
                <w:szCs w:val="26"/>
              </w:rPr>
            </w:pPr>
            <w:r>
              <w:rPr>
                <w:b w:val="false"/>
                <w:sz w:val="26"/>
                <w:szCs w:val="26"/>
              </w:rPr>
              <w:t>Почтовый адрес: 676244, Амурская область, г. Зея.</w:t>
            </w:r>
          </w:p>
          <w:p>
            <w:pPr>
              <w:pStyle w:val="Tableheader"/>
              <w:widowControl w:val="false"/>
              <w:rPr>
                <w:b w:val="false"/>
                <w:sz w:val="26"/>
                <w:szCs w:val="26"/>
              </w:rPr>
            </w:pPr>
            <w:r>
              <w:rPr>
                <w:b w:val="false"/>
                <w:sz w:val="26"/>
                <w:szCs w:val="26"/>
              </w:rPr>
              <w:t>Адрес электронной почты: zges@rushydro.ru.</w:t>
            </w:r>
          </w:p>
          <w:p>
            <w:pPr>
              <w:pStyle w:val="Normal"/>
              <w:widowControl w:val="false"/>
              <w:tabs>
                <w:tab w:val="clear" w:pos="567"/>
                <w:tab w:val="left" w:pos="426" w:leader="none"/>
              </w:tabs>
              <w:spacing w:before="120" w:after="120"/>
              <w:rPr>
                <w:rFonts w:eastAsia="Lucida Sans Unicode"/>
                <w:i/>
                <w:i/>
                <w:kern w:val="2"/>
                <w:shd w:fill="FFFF99" w:val="clear"/>
                <w:lang w:val="en-US"/>
              </w:rPr>
            </w:pPr>
            <w:r>
              <w:rPr/>
              <w:t>Контактный телефон: (41658) 2-45-31.</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68" w:name="_Ref514805119"/>
            <w:bookmarkStart w:id="469" w:name="_Ref514805119"/>
            <w:bookmarkEnd w:id="469"/>
          </w:p>
        </w:tc>
        <w:tc>
          <w:tcPr>
            <w:tcW w:w="2552" w:type="dxa"/>
            <w:tcBorders/>
          </w:tcPr>
          <w:p>
            <w:pPr>
              <w:pStyle w:val="Normal"/>
              <w:widowControl w:val="false"/>
              <w:spacing w:before="120" w:after="0"/>
              <w:jc w:val="left"/>
              <w:rPr/>
            </w:pPr>
            <w:r>
              <w:rPr/>
              <w:t>Представитель Организатора продажи</w:t>
            </w:r>
          </w:p>
        </w:tc>
        <w:tc>
          <w:tcPr>
            <w:tcW w:w="6020" w:type="dxa"/>
            <w:tcBorders/>
          </w:tcPr>
          <w:p>
            <w:pPr>
              <w:pStyle w:val="Tableheader"/>
              <w:widowControl w:val="false"/>
              <w:spacing w:before="120" w:after="120"/>
              <w:rPr>
                <w:b w:val="false"/>
                <w:sz w:val="26"/>
                <w:szCs w:val="26"/>
              </w:rPr>
            </w:pPr>
            <w:r>
              <w:rPr>
                <w:b w:val="false"/>
                <w:sz w:val="26"/>
                <w:szCs w:val="26"/>
              </w:rPr>
              <w:t>Контактное лицо (Ф.И.О.): Соломко Наталья Валентиновна.</w:t>
            </w:r>
          </w:p>
          <w:p>
            <w:pPr>
              <w:pStyle w:val="Tableheader"/>
              <w:widowControl w:val="false"/>
              <w:spacing w:before="120" w:after="120"/>
              <w:rPr>
                <w:b w:val="false"/>
                <w:sz w:val="26"/>
                <w:szCs w:val="26"/>
              </w:rPr>
            </w:pPr>
            <w:r>
              <w:rPr>
                <w:b w:val="false"/>
                <w:sz w:val="26"/>
                <w:szCs w:val="26"/>
              </w:rPr>
              <w:t>Контактный телефон: 8(41658) 28-289.</w:t>
            </w:r>
          </w:p>
          <w:p>
            <w:pPr>
              <w:pStyle w:val="Tableheader"/>
              <w:widowControl w:val="false"/>
              <w:spacing w:before="120" w:after="120"/>
              <w:rPr>
                <w:rFonts w:eastAsia="Lucida Sans Unicode"/>
                <w:b w:val="false"/>
                <w:i/>
                <w:i/>
                <w:kern w:val="2"/>
                <w:sz w:val="26"/>
                <w:szCs w:val="26"/>
                <w:shd w:fill="FFFF99" w:val="clear"/>
              </w:rPr>
            </w:pPr>
            <w:r>
              <w:rPr>
                <w:b w:val="false"/>
                <w:sz w:val="26"/>
                <w:szCs w:val="26"/>
              </w:rPr>
              <w:t xml:space="preserve">Адрес электронной почты: </w:t>
            </w:r>
            <w:r>
              <w:rPr>
                <w:b w:val="false"/>
                <w:sz w:val="26"/>
                <w:szCs w:val="26"/>
                <w:lang w:val="en-US"/>
              </w:rPr>
              <w:t>SolomkoNV</w:t>
            </w:r>
            <w:r>
              <w:rPr>
                <w:b w:val="false"/>
                <w:sz w:val="26"/>
                <w:szCs w:val="26"/>
              </w:rPr>
              <w:t>@rushydro.ru.</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70" w:name="_Ref514805016"/>
            <w:bookmarkStart w:id="471" w:name="_Ref514805016"/>
            <w:bookmarkEnd w:id="471"/>
          </w:p>
        </w:tc>
        <w:tc>
          <w:tcPr>
            <w:tcW w:w="2552" w:type="dxa"/>
            <w:tcBorders/>
          </w:tcPr>
          <w:p>
            <w:pPr>
              <w:pStyle w:val="Normal"/>
              <w:widowControl w:val="false"/>
              <w:spacing w:before="120" w:after="0"/>
              <w:jc w:val="left"/>
              <w:rPr/>
            </w:pPr>
            <w:r>
              <w:rPr/>
              <w:t>Наименование и адрес ЭТП</w:t>
            </w:r>
          </w:p>
        </w:tc>
        <w:tc>
          <w:tcPr>
            <w:tcW w:w="6020" w:type="dxa"/>
            <w:tcBorders/>
          </w:tcPr>
          <w:p>
            <w:pPr>
              <w:pStyle w:val="Normal"/>
              <w:widowControl w:val="false"/>
              <w:tabs>
                <w:tab w:val="clear" w:pos="567"/>
                <w:tab w:val="left" w:pos="426" w:leader="none"/>
              </w:tabs>
              <w:spacing w:before="120" w:after="120"/>
              <w:rPr>
                <w:b/>
              </w:rPr>
            </w:pPr>
            <w:r>
              <w:rPr/>
              <w:t xml:space="preserve">Электронная торговая площадка: Акционерное общество «Российский аукционный дом»                            (АО «РАД»),  </w:t>
            </w:r>
            <w:hyperlink r:id="rId5">
              <w:r>
                <w:rPr/>
                <w:t>https://lot-online.ru/</w:t>
              </w:r>
            </w:hyperlink>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rPr>
            </w:pPr>
            <w:r>
              <w:rPr/>
              <w:t>Предмет Договора</w:t>
            </w:r>
          </w:p>
        </w:tc>
        <w:tc>
          <w:tcPr>
            <w:tcW w:w="6020" w:type="dxa"/>
            <w:tcBorders/>
          </w:tcPr>
          <w:p>
            <w:pPr>
              <w:pStyle w:val="Normal"/>
              <w:widowControl w:val="false"/>
              <w:tabs>
                <w:tab w:val="clear" w:pos="567"/>
                <w:tab w:val="left" w:pos="1134" w:leader="none"/>
              </w:tabs>
              <w:spacing w:before="120" w:after="0"/>
              <w:rPr/>
            </w:pPr>
            <w:r>
              <w:rPr/>
              <w:t>Тепловодосети, расположенные по адресу: Амурская область, г. Зея:</w:t>
            </w:r>
          </w:p>
          <w:p>
            <w:pPr>
              <w:pStyle w:val="Normal"/>
              <w:widowControl w:val="false"/>
              <w:tabs>
                <w:tab w:val="clear" w:pos="567"/>
                <w:tab w:val="left" w:pos="1134" w:leader="none"/>
              </w:tabs>
              <w:spacing w:before="0" w:after="0"/>
              <w:rPr>
                <w:rFonts w:eastAsia="Calibri"/>
                <w:sz w:val="28"/>
                <w:szCs w:val="28"/>
              </w:rPr>
            </w:pPr>
            <w:r>
              <w:rPr/>
              <w:t xml:space="preserve">- Тепловодосети базы МТС и МПВ,  кадастровый номер </w:t>
            </w:r>
            <w:r>
              <w:rPr>
                <w:rFonts w:eastAsia="Calibri"/>
                <w:sz w:val="28"/>
                <w:szCs w:val="28"/>
              </w:rPr>
              <w:t>28:03:000000:2256, протяженностью 3633 м;</w:t>
            </w:r>
          </w:p>
          <w:p>
            <w:pPr>
              <w:pStyle w:val="Normal"/>
              <w:widowControl w:val="false"/>
              <w:tabs>
                <w:tab w:val="clear" w:pos="567"/>
                <w:tab w:val="left" w:pos="1134" w:leader="none"/>
              </w:tabs>
              <w:spacing w:before="0" w:after="0"/>
              <w:rPr>
                <w:rFonts w:eastAsia="Calibri"/>
                <w:sz w:val="28"/>
                <w:szCs w:val="28"/>
              </w:rPr>
            </w:pPr>
            <w:r>
              <w:rPr/>
              <w:t xml:space="preserve">- </w:t>
            </w:r>
            <w:r>
              <w:rPr>
                <w:rFonts w:eastAsia="Calibri"/>
                <w:sz w:val="28"/>
                <w:szCs w:val="28"/>
              </w:rPr>
              <w:t>Магистральные теплосети 2 очереди опорной базы УНП, кадастровый номер 28:03:020003:520, протяженностью 116 м;</w:t>
            </w:r>
          </w:p>
          <w:p>
            <w:pPr>
              <w:pStyle w:val="Normal"/>
              <w:widowControl w:val="false"/>
              <w:tabs>
                <w:tab w:val="clear" w:pos="567"/>
                <w:tab w:val="left" w:pos="1134" w:leader="none"/>
              </w:tabs>
              <w:spacing w:before="0" w:after="0"/>
              <w:rPr/>
            </w:pPr>
            <w:r>
              <w:rPr>
                <w:rFonts w:eastAsia="Calibri"/>
                <w:sz w:val="28"/>
                <w:szCs w:val="28"/>
              </w:rPr>
              <w:t>- Тепловодосети наружные опорной базы, кадастровый номер 28:03:020003:521, протяженностью 515 м.</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Краткое описание предмета продажи </w:t>
            </w:r>
          </w:p>
        </w:tc>
        <w:tc>
          <w:tcPr>
            <w:tcW w:w="6836" w:type="dxa"/>
            <w:gridSpan w:val="2"/>
            <w:tcBorders/>
          </w:tcPr>
          <w:p>
            <w:pPr>
              <w:pStyle w:val="Tableheader"/>
              <w:widowControl w:val="false"/>
              <w:spacing w:before="120" w:after="0"/>
              <w:rPr>
                <w:b w:val="false"/>
                <w:sz w:val="26"/>
                <w:szCs w:val="26"/>
              </w:rPr>
            </w:pPr>
            <w:r>
              <w:rPr>
                <w:b w:val="false"/>
                <w:sz w:val="26"/>
                <w:szCs w:val="26"/>
              </w:rPr>
              <w:t xml:space="preserve">Описание предмета продажи содержится в </w:t>
            </w:r>
          </w:p>
          <w:p>
            <w:pPr>
              <w:pStyle w:val="Tableheader"/>
              <w:widowControl w:val="false"/>
              <w:spacing w:before="0" w:after="0"/>
              <w:rPr>
                <w:b w:val="false"/>
                <w:sz w:val="26"/>
                <w:szCs w:val="26"/>
              </w:rPr>
            </w:pPr>
            <w:r>
              <w:rPr>
                <w:b w:val="false"/>
                <w:sz w:val="26"/>
                <w:szCs w:val="26"/>
              </w:rPr>
              <w:t>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Адрес местонахождения предмета продажи</w:t>
            </w:r>
          </w:p>
        </w:tc>
        <w:tc>
          <w:tcPr>
            <w:tcW w:w="6836" w:type="dxa"/>
            <w:gridSpan w:val="2"/>
            <w:tcBorders/>
          </w:tcPr>
          <w:p>
            <w:pPr>
              <w:pStyle w:val="Normal"/>
              <w:widowControl w:val="false"/>
              <w:spacing w:before="120" w:after="120"/>
              <w:rPr>
                <w:i/>
                <w:i/>
                <w:shd w:fill="FFFF99" w:val="clear"/>
              </w:rPr>
            </w:pPr>
            <w:r>
              <w:rPr>
                <w:rFonts w:eastAsia="Calibri"/>
              </w:rPr>
              <w:t>Амурская область, г. Зея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72" w:name="_Ref523922333"/>
            <w:bookmarkStart w:id="473" w:name="_Ref523922333"/>
            <w:bookmarkEnd w:id="473"/>
          </w:p>
        </w:tc>
        <w:tc>
          <w:tcPr>
            <w:tcW w:w="2552" w:type="dxa"/>
            <w:tcBorders/>
          </w:tcPr>
          <w:p>
            <w:pPr>
              <w:pStyle w:val="Normal"/>
              <w:widowControl w:val="false"/>
              <w:spacing w:before="120" w:after="0"/>
              <w:jc w:val="left"/>
              <w:rPr/>
            </w:pPr>
            <w:r>
              <w:rPr/>
              <w:t>Начальная цена продажи</w:t>
            </w:r>
          </w:p>
        </w:tc>
        <w:tc>
          <w:tcPr>
            <w:tcW w:w="6836" w:type="dxa"/>
            <w:gridSpan w:val="2"/>
            <w:tcBorders/>
          </w:tcPr>
          <w:p>
            <w:pPr>
              <w:pStyle w:val="Normal"/>
              <w:widowControl w:val="false"/>
              <w:tabs>
                <w:tab w:val="clear" w:pos="567"/>
                <w:tab w:val="left" w:pos="426" w:leader="none"/>
              </w:tabs>
              <w:spacing w:before="120" w:after="0"/>
              <w:rPr/>
            </w:pPr>
            <w:r>
              <w:rPr/>
              <w:t xml:space="preserve">10 483 560 (Десять миллионов четыреста </w:t>
            </w:r>
          </w:p>
          <w:p>
            <w:pPr>
              <w:pStyle w:val="Normal"/>
              <w:widowControl w:val="false"/>
              <w:tabs>
                <w:tab w:val="clear" w:pos="567"/>
                <w:tab w:val="left" w:pos="426" w:leader="none"/>
              </w:tabs>
              <w:rPr/>
            </w:pPr>
            <w:r>
              <w:rPr/>
              <w:t xml:space="preserve"> </w:t>
            </w:r>
            <w:r>
              <w:rPr/>
              <w:t xml:space="preserve">восемьдесят три тысячи пятьсот шестьдесят) рублей </w:t>
            </w:r>
          </w:p>
          <w:p>
            <w:pPr>
              <w:pStyle w:val="Normal"/>
              <w:widowControl w:val="false"/>
              <w:tabs>
                <w:tab w:val="clear" w:pos="567"/>
                <w:tab w:val="left" w:pos="426" w:leader="none"/>
              </w:tabs>
              <w:rPr/>
            </w:pPr>
            <w:r>
              <w:rPr/>
              <w:t>00 копеек с учетом НДС</w:t>
            </w:r>
          </w:p>
          <w:p>
            <w:pPr>
              <w:pStyle w:val="Normal"/>
              <w:widowControl w:val="false"/>
              <w:tabs>
                <w:tab w:val="clear" w:pos="567"/>
                <w:tab w:val="left" w:pos="426" w:leader="none"/>
              </w:tabs>
              <w:rPr>
                <w:b/>
              </w:rPr>
            </w:pPr>
            <w:r>
              <w:rPr>
                <w:b/>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Валюта Договора</w:t>
            </w:r>
          </w:p>
        </w:tc>
        <w:tc>
          <w:tcPr>
            <w:tcW w:w="6836" w:type="dxa"/>
            <w:gridSpan w:val="2"/>
            <w:tcBorders/>
          </w:tcPr>
          <w:p>
            <w:pPr>
              <w:pStyle w:val="Normal"/>
              <w:widowControl w:val="false"/>
              <w:tabs>
                <w:tab w:val="clear" w:pos="567"/>
                <w:tab w:val="left" w:pos="426" w:leader="none"/>
              </w:tabs>
              <w:spacing w:before="120" w:after="0"/>
              <w:rPr>
                <w:rFonts w:eastAsia="Lucida Sans Unicode"/>
                <w:i/>
                <w:i/>
                <w:kern w:val="2"/>
                <w:shd w:fill="FFFF99" w:val="clear"/>
              </w:rPr>
            </w:pPr>
            <w:r>
              <w:rPr/>
              <w:t xml:space="preserve">Российский рубль. </w:t>
            </w:r>
          </w:p>
        </w:tc>
      </w:tr>
      <w:tr>
        <w:trPr>
          <w:trHeight w:val="2097" w:hRule="atLeast"/>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Участник аукциона </w:t>
            </w:r>
          </w:p>
        </w:tc>
        <w:tc>
          <w:tcPr>
            <w:tcW w:w="6020" w:type="dxa"/>
            <w:tcBorders/>
            <w:vAlign w:val="center"/>
          </w:tcPr>
          <w:p>
            <w:pPr>
              <w:pStyle w:val="Normal"/>
              <w:widowControl w:val="false"/>
              <w:spacing w:before="120" w:after="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p>
        </w:tc>
        <w:tc>
          <w:tcPr>
            <w:tcW w:w="816" w:type="dxa"/>
            <w:tcBorders/>
          </w:tcPr>
          <w:p>
            <w:pPr>
              <w:pStyle w:val="Normal"/>
              <w:widowControl w:val="false"/>
              <w:spacing w:before="120" w:after="0"/>
              <w:rPr/>
            </w:pPr>
            <w:r>
              <w:rPr/>
            </w:r>
            <w:bookmarkStart w:id="474" w:name="_Hlk523925792"/>
            <w:bookmarkStart w:id="475" w:name="_Hlk523925792"/>
            <w:bookmarkEnd w:id="475"/>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Срок, место и порядок предоставления Документации о продаже</w:t>
            </w:r>
          </w:p>
        </w:tc>
        <w:tc>
          <w:tcPr>
            <w:tcW w:w="6020" w:type="dxa"/>
            <w:tcBorders/>
          </w:tcPr>
          <w:p>
            <w:pPr>
              <w:pStyle w:val="Normal"/>
              <w:widowControl w:val="false"/>
              <w:tabs>
                <w:tab w:val="clear" w:pos="567"/>
                <w:tab w:val="left" w:pos="426" w:leader="none"/>
              </w:tabs>
              <w:spacing w:before="120" w:after="120"/>
              <w:rPr/>
            </w:pPr>
            <w:r>
              <w:rP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6">
              <w:r>
                <w:rPr/>
                <w:t>https://lot-online.ru/</w:t>
              </w:r>
            </w:hyperlink>
            <w:r>
              <w:rPr/>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Задаток</w:t>
            </w:r>
          </w:p>
        </w:tc>
        <w:tc>
          <w:tcPr>
            <w:tcW w:w="6020" w:type="dxa"/>
            <w:tcBorders/>
          </w:tcPr>
          <w:p>
            <w:pPr>
              <w:pStyle w:val="Tableheader"/>
              <w:widowControl w:val="false"/>
              <w:spacing w:before="120" w:after="120"/>
              <w:rPr>
                <w:b w:val="false"/>
                <w:sz w:val="26"/>
                <w:szCs w:val="26"/>
              </w:rPr>
            </w:pPr>
            <w:r>
              <w:rPr>
                <w:b w:val="false"/>
                <w:sz w:val="26"/>
                <w:szCs w:val="26"/>
              </w:rPr>
              <w:t>Информация о размере и условиях предоставления задатка приведена в Документации о продаже.</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начала – дата и время окончания срока подачи заявок</w:t>
            </w:r>
          </w:p>
        </w:tc>
        <w:tc>
          <w:tcPr>
            <w:tcW w:w="6020" w:type="dxa"/>
            <w:tcBorders/>
          </w:tcPr>
          <w:p>
            <w:pPr>
              <w:pStyle w:val="Normal"/>
              <w:widowControl w:val="false"/>
              <w:spacing w:before="120" w:after="0"/>
              <w:rPr/>
            </w:pPr>
            <w:r>
              <w:rPr/>
              <w:t>Дата начала подачи заявок: «25» февраля 2025 г.</w:t>
            </w:r>
          </w:p>
          <w:p>
            <w:pPr>
              <w:pStyle w:val="Normal"/>
              <w:widowControl w:val="false"/>
              <w:rPr>
                <w:b/>
              </w:rPr>
            </w:pPr>
            <w:r>
              <w:rPr/>
              <w:t>Дата и время окончания срока подачи заявок: «11» апреля 2025 г. в 17 ч. 00 мин. (по местному времени Организатора).</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Порядок подачи заявок</w:t>
            </w:r>
          </w:p>
        </w:tc>
        <w:tc>
          <w:tcPr>
            <w:tcW w:w="6020" w:type="dxa"/>
            <w:tcBorders/>
          </w:tcPr>
          <w:p>
            <w:pPr>
              <w:pStyle w:val="Tabletext"/>
              <w:widowControl w:val="false"/>
              <w:spacing w:before="120" w:after="0"/>
              <w:ind w:left="-44" w:hanging="0"/>
              <w:rPr>
                <w:b/>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sz w:val="26"/>
                <w:szCs w:val="26"/>
              </w:rPr>
              <w:t xml:space="preserve"> настоящего Извещения.</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«Шаг» аукциона</w:t>
            </w:r>
          </w:p>
        </w:tc>
        <w:tc>
          <w:tcPr>
            <w:tcW w:w="6020" w:type="dxa"/>
            <w:tcBorders/>
          </w:tcPr>
          <w:p>
            <w:pPr>
              <w:pStyle w:val="Normal"/>
              <w:widowControl w:val="false"/>
              <w:tabs>
                <w:tab w:val="clear" w:pos="567"/>
                <w:tab w:val="left" w:pos="426" w:leader="none"/>
              </w:tabs>
              <w:spacing w:before="120" w:after="120"/>
              <w:rPr/>
            </w:pPr>
            <w:r>
              <w:rPr/>
              <w:t>Шаг аукциона: 100 000 (сто тысяч) рублей 00 копеек с учетом НДС.</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Дата и время проведения аукциона </w:t>
            </w:r>
          </w:p>
        </w:tc>
        <w:tc>
          <w:tcPr>
            <w:tcW w:w="6020" w:type="dxa"/>
            <w:tcBorders/>
          </w:tcPr>
          <w:p>
            <w:pPr>
              <w:pStyle w:val="Normal"/>
              <w:widowControl w:val="false"/>
              <w:tabs>
                <w:tab w:val="clear" w:pos="567"/>
                <w:tab w:val="left" w:pos="426" w:leader="none"/>
              </w:tabs>
              <w:spacing w:before="120" w:after="120"/>
              <w:rPr>
                <w:rStyle w:val="Style4"/>
                <w:b w:val="false"/>
              </w:rPr>
            </w:pPr>
            <w:r>
              <w:rPr/>
              <w:t>«16» апреля 2025 г. в 14 ч. 00 мин. (по местному времени Организатора).</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подведения итогов аукциона</w:t>
            </w:r>
          </w:p>
        </w:tc>
        <w:tc>
          <w:tcPr>
            <w:tcW w:w="6020" w:type="dxa"/>
            <w:tcBorders/>
          </w:tcPr>
          <w:p>
            <w:pPr>
              <w:pStyle w:val="Normal"/>
              <w:widowControl w:val="false"/>
              <w:tabs>
                <w:tab w:val="clear" w:pos="567"/>
                <w:tab w:val="left" w:pos="426" w:leader="none"/>
              </w:tabs>
              <w:spacing w:before="120" w:after="120"/>
              <w:rPr/>
            </w:pPr>
            <w:r>
              <w:rPr/>
              <w:t>«</w:t>
            </w:r>
            <w:r>
              <w:rPr>
                <w:lang w:val="en-US"/>
              </w:rPr>
              <w:t>18</w:t>
            </w:r>
            <w:r>
              <w:rPr/>
              <w:t>» апреля 2025 г.</w:t>
            </w:r>
            <w:bookmarkStart w:id="476" w:name="_GoBack"/>
            <w:bookmarkEnd w:id="476"/>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77" w:name="_Ref525315137"/>
            <w:bookmarkStart w:id="478" w:name="_Ref525315137"/>
            <w:bookmarkEnd w:id="478"/>
          </w:p>
        </w:tc>
        <w:tc>
          <w:tcPr>
            <w:tcW w:w="2552" w:type="dxa"/>
            <w:tcBorders/>
          </w:tcPr>
          <w:p>
            <w:pPr>
              <w:pStyle w:val="Normal"/>
              <w:widowControl w:val="false"/>
              <w:spacing w:before="120" w:after="0"/>
              <w:jc w:val="left"/>
              <w:rPr/>
            </w:pPr>
            <w:r>
              <w:rPr/>
              <w:t xml:space="preserve">Время ожидания ценового предложения Участника </w:t>
            </w:r>
          </w:p>
        </w:tc>
        <w:tc>
          <w:tcPr>
            <w:tcW w:w="6020" w:type="dxa"/>
            <w:tcBorders/>
          </w:tcPr>
          <w:p>
            <w:pPr>
              <w:pStyle w:val="Tableheader"/>
              <w:widowControl w:val="false"/>
              <w:spacing w:before="120" w:after="0"/>
              <w:rPr>
                <w:b w:val="false"/>
                <w:sz w:val="26"/>
                <w:szCs w:val="26"/>
              </w:rPr>
            </w:pPr>
            <w:r>
              <w:rPr>
                <w:b w:val="false"/>
                <w:sz w:val="26"/>
                <w:szCs w:val="26"/>
              </w:rPr>
              <w:t xml:space="preserve">30 (тридцать) минут от времени начала проведения аукциона. </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020" w:type="dxa"/>
            <w:tcBorders/>
          </w:tcPr>
          <w:p>
            <w:pPr>
              <w:pStyle w:val="Tableheader"/>
              <w:widowControl w:val="false"/>
              <w:spacing w:before="120" w:after="0"/>
              <w:rPr>
                <w:b w:val="false"/>
                <w:sz w:val="26"/>
                <w:szCs w:val="26"/>
              </w:rPr>
            </w:pPr>
            <w:r>
              <w:rPr>
                <w:b w:val="false"/>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sz w:val="26"/>
                <w:szCs w:val="26"/>
              </w:rPr>
            </w:pPr>
            <w:r>
              <w:rPr>
                <w:b w:val="false"/>
                <w:sz w:val="26"/>
                <w:szCs w:val="26"/>
              </w:rPr>
              <w:t>Победителем аукциона признается участник аукциона, предложивший наиболее высокую цену Договора.</w:t>
            </w:r>
          </w:p>
        </w:tc>
        <w:tc>
          <w:tcPr>
            <w:tcW w:w="816" w:type="dxa"/>
            <w:tcBorders/>
          </w:tcPr>
          <w:p>
            <w:pPr>
              <w:pStyle w:val="Normal"/>
              <w:widowControl w:val="false"/>
              <w:spacing w:before="120" w:after="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479" w:name="_Ref446062609"/>
            <w:bookmarkStart w:id="480" w:name="_Ref446062609"/>
            <w:bookmarkEnd w:id="480"/>
          </w:p>
        </w:tc>
        <w:tc>
          <w:tcPr>
            <w:tcW w:w="8572" w:type="dxa"/>
            <w:gridSpan w:val="2"/>
            <w:tcBorders/>
          </w:tcPr>
          <w:p>
            <w:pPr>
              <w:pStyle w:val="Normal"/>
              <w:widowControl w:val="false"/>
              <w:spacing w:before="120" w:after="120"/>
              <w:rPr/>
            </w:pPr>
            <w:r>
              <w:rPr/>
              <w:t>Подробное описание предмета продажи и условий Договора, а также процедур аукциона содержится в Документации о продаже.</w:t>
            </w:r>
          </w:p>
        </w:tc>
        <w:tc>
          <w:tcPr>
            <w:tcW w:w="816" w:type="dxa"/>
            <w:tcBorders/>
          </w:tcPr>
          <w:p>
            <w:pPr>
              <w:pStyle w:val="Normal"/>
              <w:widowControl w:val="false"/>
              <w:spacing w:before="120" w:after="0"/>
              <w:rPr/>
            </w:pPr>
            <w:r>
              <w:rPr/>
            </w:r>
          </w:p>
        </w:tc>
      </w:tr>
    </w:tbl>
    <w:p>
      <w:pPr>
        <w:pStyle w:val="Heading1"/>
        <w:numPr>
          <w:ilvl w:val="0"/>
          <w:numId w:val="0"/>
        </w:numPr>
        <w:ind w:left="1134" w:hanging="0"/>
        <w:jc w:val="right"/>
        <w:rPr>
          <w:rFonts w:ascii="Times New Roman" w:hAnsi="Times New Roman"/>
          <w:b w:val="false"/>
          <w:sz w:val="24"/>
          <w:szCs w:val="24"/>
        </w:rPr>
      </w:pPr>
      <w:bookmarkStart w:id="481" w:name="_Toc43469260"/>
      <w:bookmarkStart w:id="482" w:name="_Ref324332092"/>
      <w:bookmarkStart w:id="483" w:name="_Ref384123551"/>
      <w:bookmarkStart w:id="484" w:name="_Ref384123555"/>
      <w:r>
        <w:rPr>
          <w:rFonts w:ascii="Times New Roman" w:hAnsi="Times New Roman"/>
          <w:b w:val="false"/>
          <w:sz w:val="24"/>
          <w:szCs w:val="24"/>
        </w:rPr>
        <w:t xml:space="preserve">Приложение № </w:t>
      </w:r>
      <w:bookmarkEnd w:id="482"/>
      <w:bookmarkEnd w:id="483"/>
      <w:bookmarkEnd w:id="484"/>
      <w:r>
        <w:rPr>
          <w:rFonts w:ascii="Times New Roman" w:hAnsi="Times New Roman"/>
          <w:b w:val="false"/>
          <w:sz w:val="24"/>
          <w:szCs w:val="24"/>
        </w:rPr>
        <w:t>1</w:t>
      </w:r>
      <w:bookmarkEnd w:id="481"/>
    </w:p>
    <w:p>
      <w:pPr>
        <w:pStyle w:val="Normal"/>
        <w:jc w:val="center"/>
        <w:rPr>
          <w:b/>
          <w:sz w:val="28"/>
          <w:szCs w:val="28"/>
        </w:rPr>
      </w:pPr>
      <w:r>
        <w:rPr>
          <w:b/>
          <w:sz w:val="28"/>
          <w:szCs w:val="28"/>
        </w:rPr>
        <w:t>ТЕХНИЧЕСКИЕ ХАРАКТЕРИСТИКИ ПРЕДМЕТА ПРОДАЖИ</w:t>
      </w:r>
    </w:p>
    <w:p>
      <w:pPr>
        <w:pStyle w:val="Normal"/>
        <w:jc w:val="left"/>
        <w:rPr>
          <w:sz w:val="24"/>
          <w:szCs w:val="28"/>
          <w:highlight w:val="yellow"/>
        </w:rPr>
      </w:pPr>
      <w:r>
        <w:rPr>
          <w:sz w:val="24"/>
          <w:szCs w:val="28"/>
          <w:highlight w:val="yellow"/>
        </w:rPr>
      </w:r>
    </w:p>
    <w:tbl>
      <w:tblPr>
        <w:tblStyle w:val="211"/>
        <w:tblW w:w="9639"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463"/>
        <w:gridCol w:w="2370"/>
        <w:gridCol w:w="1419"/>
        <w:gridCol w:w="1276"/>
        <w:gridCol w:w="2409"/>
        <w:gridCol w:w="1701"/>
      </w:tblGrid>
      <w:tr>
        <w:trPr>
          <w:tblHeader w:val="true"/>
          <w:trHeight w:val="795" w:hRule="atLeast"/>
        </w:trPr>
        <w:tc>
          <w:tcPr>
            <w:tcW w:w="463" w:type="dxa"/>
            <w:tcBorders/>
            <w:vAlign w:val="center"/>
          </w:tcPr>
          <w:p>
            <w:pPr>
              <w:pStyle w:val="Normal"/>
              <w:widowControl w:val="false"/>
              <w:suppressAutoHyphens w:val="true"/>
              <w:spacing w:before="0" w:after="0"/>
              <w:jc w:val="center"/>
              <w:rPr>
                <w:bCs/>
                <w:sz w:val="18"/>
                <w:szCs w:val="18"/>
              </w:rPr>
            </w:pPr>
            <w:r>
              <w:rPr>
                <w:rFonts w:eastAsia="Calibri" w:cs="Times New Roman"/>
                <w:bCs/>
                <w:kern w:val="0"/>
                <w:sz w:val="18"/>
                <w:szCs w:val="18"/>
                <w:lang w:val="ru-RU" w:eastAsia="en-US" w:bidi="ar-SA"/>
              </w:rPr>
              <w:t>№</w:t>
            </w:r>
          </w:p>
        </w:tc>
        <w:tc>
          <w:tcPr>
            <w:tcW w:w="2370" w:type="dxa"/>
            <w:tcBorders/>
            <w:vAlign w:val="center"/>
          </w:tcPr>
          <w:p>
            <w:pPr>
              <w:pStyle w:val="Normal"/>
              <w:widowControl w:val="false"/>
              <w:suppressAutoHyphens w:val="true"/>
              <w:spacing w:before="0" w:after="0"/>
              <w:jc w:val="center"/>
              <w:rPr>
                <w:bCs/>
                <w:sz w:val="18"/>
                <w:szCs w:val="18"/>
              </w:rPr>
            </w:pPr>
            <w:r>
              <w:rPr>
                <w:rFonts w:eastAsia="Calibri" w:cs="Times New Roman"/>
                <w:bCs/>
                <w:kern w:val="0"/>
                <w:sz w:val="18"/>
                <w:szCs w:val="18"/>
                <w:lang w:val="ru-RU" w:eastAsia="en-US" w:bidi="ar-SA"/>
              </w:rPr>
              <w:t>Наименование объекта недвижимого имущества (сведения ЕГРН)</w:t>
            </w:r>
          </w:p>
        </w:tc>
        <w:tc>
          <w:tcPr>
            <w:tcW w:w="1419" w:type="dxa"/>
            <w:tcBorders/>
            <w:vAlign w:val="center"/>
          </w:tcPr>
          <w:p>
            <w:pPr>
              <w:pStyle w:val="Normal"/>
              <w:widowControl w:val="false"/>
              <w:suppressAutoHyphens w:val="true"/>
              <w:spacing w:before="120" w:after="0"/>
              <w:jc w:val="center"/>
              <w:rPr>
                <w:rFonts w:eastAsia="Calibri"/>
                <w:bCs/>
                <w:sz w:val="18"/>
                <w:szCs w:val="18"/>
              </w:rPr>
            </w:pPr>
            <w:r>
              <w:rPr>
                <w:rFonts w:eastAsia="Calibri" w:cs="Times New Roman"/>
                <w:bCs/>
                <w:kern w:val="0"/>
                <w:sz w:val="18"/>
                <w:szCs w:val="18"/>
                <w:lang w:val="ru-RU" w:eastAsia="en-US" w:bidi="ar-SA"/>
              </w:rPr>
              <w:t>Протяжен-</w:t>
            </w:r>
          </w:p>
          <w:p>
            <w:pPr>
              <w:pStyle w:val="Normal"/>
              <w:widowControl w:val="false"/>
              <w:suppressAutoHyphens w:val="true"/>
              <w:jc w:val="center"/>
              <w:rPr>
                <w:sz w:val="18"/>
                <w:szCs w:val="18"/>
              </w:rPr>
            </w:pPr>
            <w:r>
              <w:rPr>
                <w:rFonts w:eastAsia="Calibri" w:cs="Times New Roman"/>
                <w:bCs/>
                <w:kern w:val="0"/>
                <w:sz w:val="18"/>
                <w:szCs w:val="18"/>
                <w:lang w:val="ru-RU" w:eastAsia="en-US" w:bidi="ar-SA"/>
              </w:rPr>
              <w:t>ность, м</w:t>
            </w:r>
          </w:p>
          <w:p>
            <w:pPr>
              <w:pStyle w:val="Normal"/>
              <w:widowControl w:val="false"/>
              <w:suppressAutoHyphens w:val="true"/>
              <w:spacing w:before="0" w:after="0"/>
              <w:jc w:val="center"/>
              <w:rPr>
                <w:bCs/>
                <w:sz w:val="18"/>
                <w:szCs w:val="18"/>
              </w:rPr>
            </w:pPr>
            <w:r>
              <w:rPr>
                <w:bCs/>
                <w:sz w:val="18"/>
                <w:szCs w:val="18"/>
              </w:rPr>
            </w:r>
          </w:p>
        </w:tc>
        <w:tc>
          <w:tcPr>
            <w:tcW w:w="1276" w:type="dxa"/>
            <w:tcBorders/>
            <w:vAlign w:val="center"/>
          </w:tcPr>
          <w:p>
            <w:pPr>
              <w:pStyle w:val="Normal"/>
              <w:widowControl w:val="false"/>
              <w:suppressAutoHyphens w:val="true"/>
              <w:spacing w:before="0" w:after="0"/>
              <w:jc w:val="center"/>
              <w:rPr>
                <w:bCs/>
                <w:sz w:val="18"/>
                <w:szCs w:val="18"/>
              </w:rPr>
            </w:pPr>
            <w:r>
              <w:rPr>
                <w:rFonts w:eastAsia="Calibri" w:cs="Times New Roman"/>
                <w:bCs/>
                <w:kern w:val="0"/>
                <w:sz w:val="18"/>
                <w:szCs w:val="18"/>
                <w:lang w:val="ru-RU" w:eastAsia="en-US" w:bidi="ar-SA"/>
              </w:rPr>
              <w:t xml:space="preserve">Кадастровый номер </w:t>
            </w:r>
          </w:p>
        </w:tc>
        <w:tc>
          <w:tcPr>
            <w:tcW w:w="2409" w:type="dxa"/>
            <w:tcBorders/>
            <w:vAlign w:val="center"/>
          </w:tcPr>
          <w:p>
            <w:pPr>
              <w:pStyle w:val="Normal"/>
              <w:widowControl w:val="false"/>
              <w:suppressAutoHyphens w:val="true"/>
              <w:spacing w:before="0" w:after="0"/>
              <w:jc w:val="center"/>
              <w:rPr>
                <w:bCs/>
                <w:sz w:val="18"/>
                <w:szCs w:val="18"/>
              </w:rPr>
            </w:pPr>
            <w:r>
              <w:rPr>
                <w:rFonts w:eastAsia="Calibri" w:cs="Times New Roman"/>
                <w:bCs/>
                <w:kern w:val="0"/>
                <w:sz w:val="18"/>
                <w:szCs w:val="18"/>
                <w:lang w:val="ru-RU" w:eastAsia="en-US" w:bidi="ar-SA"/>
              </w:rPr>
              <w:t>Основная характеристика</w:t>
            </w:r>
          </w:p>
        </w:tc>
        <w:tc>
          <w:tcPr>
            <w:tcW w:w="1701" w:type="dxa"/>
            <w:tcBorders/>
            <w:vAlign w:val="center"/>
          </w:tcPr>
          <w:p>
            <w:pPr>
              <w:pStyle w:val="Normal"/>
              <w:widowControl w:val="false"/>
              <w:suppressAutoHyphens w:val="true"/>
              <w:spacing w:before="0" w:after="0"/>
              <w:jc w:val="center"/>
              <w:rPr>
                <w:rFonts w:eastAsia="Calibri"/>
                <w:bCs/>
                <w:sz w:val="18"/>
                <w:szCs w:val="18"/>
              </w:rPr>
            </w:pPr>
            <w:r>
              <w:rPr>
                <w:rFonts w:eastAsia="Calibri" w:cs="Times New Roman"/>
                <w:bCs/>
                <w:kern w:val="0"/>
                <w:sz w:val="18"/>
                <w:szCs w:val="18"/>
                <w:lang w:val="ru-RU" w:eastAsia="en-US" w:bidi="ar-SA"/>
              </w:rPr>
              <w:t>Запись в ЕГРН</w:t>
            </w:r>
          </w:p>
          <w:p>
            <w:pPr>
              <w:pStyle w:val="Normal"/>
              <w:widowControl w:val="false"/>
              <w:suppressAutoHyphens w:val="true"/>
              <w:spacing w:before="0" w:after="0"/>
              <w:jc w:val="center"/>
              <w:rPr>
                <w:bCs/>
                <w:sz w:val="18"/>
                <w:szCs w:val="18"/>
              </w:rPr>
            </w:pPr>
            <w:r>
              <w:rPr>
                <w:rFonts w:eastAsia="Calibri" w:cs="Times New Roman"/>
                <w:bCs/>
                <w:kern w:val="0"/>
                <w:sz w:val="18"/>
                <w:szCs w:val="18"/>
                <w:lang w:val="ru-RU" w:eastAsia="en-US" w:bidi="ar-SA"/>
              </w:rPr>
              <w:t xml:space="preserve"> </w:t>
            </w:r>
            <w:r>
              <w:rPr>
                <w:rFonts w:eastAsia="Calibri" w:cs="Times New Roman"/>
                <w:bCs/>
                <w:kern w:val="0"/>
                <w:sz w:val="18"/>
                <w:szCs w:val="18"/>
                <w:lang w:val="ru-RU" w:eastAsia="en-US" w:bidi="ar-SA"/>
              </w:rPr>
              <w:t>(номер, дата)</w:t>
            </w:r>
          </w:p>
        </w:tc>
      </w:tr>
      <w:tr>
        <w:trPr>
          <w:trHeight w:val="645" w:hRule="atLeast"/>
        </w:trPr>
        <w:tc>
          <w:tcPr>
            <w:tcW w:w="463" w:type="dxa"/>
            <w:tcBorders/>
            <w:vAlign w:val="center"/>
          </w:tcPr>
          <w:p>
            <w:pPr>
              <w:pStyle w:val="Normal"/>
              <w:widowControl w:val="false"/>
              <w:suppressAutoHyphens w:val="true"/>
              <w:spacing w:before="0" w:after="0"/>
              <w:jc w:val="center"/>
              <w:rPr>
                <w:sz w:val="18"/>
                <w:szCs w:val="18"/>
              </w:rPr>
            </w:pPr>
            <w:r>
              <w:rPr>
                <w:rFonts w:eastAsia="Calibri" w:cs="Times New Roman"/>
                <w:kern w:val="0"/>
                <w:sz w:val="18"/>
                <w:szCs w:val="18"/>
                <w:lang w:val="ru-RU" w:eastAsia="en-US" w:bidi="ar-SA"/>
              </w:rPr>
              <w:t>1</w:t>
            </w:r>
          </w:p>
        </w:tc>
        <w:tc>
          <w:tcPr>
            <w:tcW w:w="2370" w:type="dxa"/>
            <w:tcBorders/>
            <w:vAlign w:val="center"/>
          </w:tcPr>
          <w:p>
            <w:pPr>
              <w:pStyle w:val="Normal"/>
              <w:widowControl w:val="false"/>
              <w:suppressAutoHyphens w:val="true"/>
              <w:spacing w:before="0" w:after="0"/>
              <w:jc w:val="left"/>
              <w:rPr>
                <w:rFonts w:eastAsia="Calibri"/>
                <w:sz w:val="18"/>
                <w:szCs w:val="18"/>
              </w:rPr>
            </w:pPr>
            <w:r>
              <w:rPr>
                <w:rFonts w:eastAsia="Calibri" w:cs="Times New Roman"/>
                <w:b/>
                <w:kern w:val="0"/>
                <w:sz w:val="18"/>
                <w:szCs w:val="18"/>
                <w:lang w:val="ru-RU" w:eastAsia="en-US" w:bidi="ar-SA"/>
              </w:rPr>
              <w:t>Тепловодосети базы МТС и МПВ</w:t>
            </w:r>
            <w:r>
              <w:rPr>
                <w:rFonts w:eastAsia="Calibri" w:cs="Times New Roman"/>
                <w:kern w:val="0"/>
                <w:sz w:val="18"/>
                <w:szCs w:val="18"/>
                <w:lang w:val="ru-RU" w:eastAsia="en-US" w:bidi="ar-SA"/>
              </w:rPr>
              <w:t xml:space="preserve">, </w:t>
            </w:r>
          </w:p>
          <w:p>
            <w:pPr>
              <w:pStyle w:val="Normal"/>
              <w:widowControl w:val="false"/>
              <w:suppressAutoHyphens w:val="true"/>
              <w:spacing w:before="0" w:after="0"/>
              <w:jc w:val="left"/>
              <w:rPr>
                <w:rFonts w:eastAsia="Calibri"/>
                <w:sz w:val="18"/>
                <w:szCs w:val="18"/>
              </w:rPr>
            </w:pPr>
            <w:r>
              <w:rPr>
                <w:rFonts w:eastAsia="Calibri" w:cs="Times New Roman"/>
                <w:kern w:val="0"/>
                <w:sz w:val="18"/>
                <w:szCs w:val="18"/>
                <w:lang w:val="ru-RU" w:eastAsia="en-US" w:bidi="ar-SA"/>
              </w:rPr>
              <w:t>т.ч.</w:t>
            </w:r>
          </w:p>
          <w:p>
            <w:pPr>
              <w:pStyle w:val="Normal"/>
              <w:widowControl w:val="false"/>
              <w:suppressAutoHyphens w:val="true"/>
              <w:spacing w:before="0" w:after="0"/>
              <w:jc w:val="left"/>
              <w:rPr>
                <w:rFonts w:eastAsia="Calibri"/>
                <w:i/>
                <w:i/>
                <w:sz w:val="18"/>
                <w:szCs w:val="18"/>
              </w:rPr>
            </w:pPr>
            <w:r>
              <w:rPr>
                <w:rFonts w:eastAsia="Calibri" w:cs="Times New Roman"/>
                <w:i/>
                <w:kern w:val="0"/>
                <w:sz w:val="18"/>
                <w:szCs w:val="18"/>
                <w:lang w:val="ru-RU" w:eastAsia="en-US" w:bidi="ar-SA"/>
              </w:rPr>
              <w:t>надземная прокладка</w:t>
            </w:r>
          </w:p>
          <w:p>
            <w:pPr>
              <w:pStyle w:val="Normal"/>
              <w:widowControl w:val="false"/>
              <w:suppressAutoHyphens w:val="true"/>
              <w:spacing w:before="0" w:after="0"/>
              <w:jc w:val="left"/>
              <w:rPr>
                <w:sz w:val="18"/>
                <w:szCs w:val="18"/>
              </w:rPr>
            </w:pPr>
            <w:r>
              <w:rPr>
                <w:rFonts w:eastAsia="Calibri" w:cs="Times New Roman"/>
                <w:i/>
                <w:kern w:val="0"/>
                <w:sz w:val="18"/>
                <w:szCs w:val="18"/>
                <w:lang w:val="ru-RU" w:eastAsia="en-US" w:bidi="ar-SA"/>
              </w:rPr>
              <w:t>подземная прокладка</w:t>
            </w:r>
          </w:p>
        </w:tc>
        <w:tc>
          <w:tcPr>
            <w:tcW w:w="1419" w:type="dxa"/>
            <w:tcBorders/>
            <w:vAlign w:val="center"/>
          </w:tcPr>
          <w:p>
            <w:pPr>
              <w:pStyle w:val="Normal"/>
              <w:widowControl w:val="false"/>
              <w:suppressAutoHyphens w:val="true"/>
              <w:spacing w:before="0" w:after="0"/>
              <w:jc w:val="center"/>
              <w:rPr>
                <w:rFonts w:eastAsia="Calibri"/>
                <w:sz w:val="18"/>
                <w:szCs w:val="18"/>
              </w:rPr>
            </w:pPr>
            <w:r>
              <w:rPr>
                <w:rFonts w:eastAsia="Calibri" w:cs="Times New Roman"/>
                <w:kern w:val="0"/>
                <w:sz w:val="18"/>
                <w:szCs w:val="18"/>
                <w:lang w:val="ru-RU" w:eastAsia="en-US" w:bidi="ar-SA"/>
              </w:rPr>
              <w:t>3633</w:t>
            </w:r>
          </w:p>
          <w:p>
            <w:pPr>
              <w:pStyle w:val="Normal"/>
              <w:widowControl w:val="false"/>
              <w:suppressAutoHyphens w:val="true"/>
              <w:spacing w:before="0" w:after="0"/>
              <w:jc w:val="center"/>
              <w:rPr>
                <w:rFonts w:eastAsia="Calibri"/>
                <w:sz w:val="18"/>
                <w:szCs w:val="18"/>
              </w:rPr>
            </w:pPr>
            <w:r>
              <w:rPr>
                <w:rFonts w:eastAsia="Calibri"/>
                <w:sz w:val="18"/>
                <w:szCs w:val="18"/>
              </w:rPr>
            </w:r>
          </w:p>
          <w:p>
            <w:pPr>
              <w:pStyle w:val="Normal"/>
              <w:widowControl w:val="false"/>
              <w:suppressAutoHyphens w:val="true"/>
              <w:spacing w:before="0" w:after="0"/>
              <w:jc w:val="center"/>
              <w:rPr>
                <w:rFonts w:eastAsia="Calibri"/>
                <w:sz w:val="18"/>
                <w:szCs w:val="18"/>
              </w:rPr>
            </w:pPr>
            <w:r>
              <w:rPr>
                <w:rFonts w:eastAsia="Calibri"/>
                <w:sz w:val="18"/>
                <w:szCs w:val="18"/>
              </w:rPr>
            </w:r>
          </w:p>
          <w:p>
            <w:pPr>
              <w:pStyle w:val="Normal"/>
              <w:widowControl w:val="false"/>
              <w:suppressAutoHyphens w:val="true"/>
              <w:spacing w:before="0" w:after="0"/>
              <w:jc w:val="center"/>
              <w:rPr>
                <w:rFonts w:eastAsia="Calibri"/>
                <w:i/>
                <w:i/>
                <w:sz w:val="18"/>
                <w:szCs w:val="18"/>
              </w:rPr>
            </w:pPr>
            <w:r>
              <w:rPr>
                <w:rFonts w:eastAsia="Calibri" w:cs="Times New Roman"/>
                <w:i/>
                <w:kern w:val="0"/>
                <w:sz w:val="18"/>
                <w:szCs w:val="18"/>
                <w:lang w:val="ru-RU" w:eastAsia="en-US" w:bidi="ar-SA"/>
              </w:rPr>
              <w:t>1573</w:t>
            </w:r>
          </w:p>
          <w:p>
            <w:pPr>
              <w:pStyle w:val="Normal"/>
              <w:widowControl w:val="false"/>
              <w:suppressAutoHyphens w:val="true"/>
              <w:spacing w:before="0" w:after="0"/>
              <w:jc w:val="center"/>
              <w:rPr>
                <w:sz w:val="18"/>
                <w:szCs w:val="18"/>
              </w:rPr>
            </w:pPr>
            <w:r>
              <w:rPr>
                <w:rFonts w:eastAsia="Calibri" w:cs="Times New Roman"/>
                <w:i/>
                <w:kern w:val="0"/>
                <w:sz w:val="18"/>
                <w:szCs w:val="18"/>
                <w:lang w:val="ru-RU" w:eastAsia="en-US" w:bidi="ar-SA"/>
              </w:rPr>
              <w:t>2060</w:t>
            </w:r>
          </w:p>
        </w:tc>
        <w:tc>
          <w:tcPr>
            <w:tcW w:w="1276" w:type="dxa"/>
            <w:tcBorders/>
            <w:vAlign w:val="center"/>
          </w:tcPr>
          <w:p>
            <w:pPr>
              <w:pStyle w:val="Normal"/>
              <w:widowControl w:val="false"/>
              <w:suppressAutoHyphens w:val="true"/>
              <w:spacing w:before="0" w:after="0"/>
              <w:jc w:val="center"/>
              <w:rPr>
                <w:sz w:val="18"/>
                <w:szCs w:val="18"/>
              </w:rPr>
            </w:pPr>
            <w:r>
              <w:rPr>
                <w:rFonts w:eastAsia="Calibri" w:cs="Times New Roman"/>
                <w:kern w:val="0"/>
                <w:sz w:val="18"/>
                <w:szCs w:val="18"/>
                <w:lang w:val="ru-RU" w:eastAsia="en-US" w:bidi="ar-SA"/>
              </w:rPr>
              <w:t>28:03:000000:2256</w:t>
            </w:r>
          </w:p>
        </w:tc>
        <w:tc>
          <w:tcPr>
            <w:tcW w:w="2409" w:type="dxa"/>
            <w:tcBorders/>
            <w:vAlign w:val="center"/>
          </w:tcPr>
          <w:p>
            <w:pPr>
              <w:pStyle w:val="Normal"/>
              <w:widowControl w:val="false"/>
              <w:tabs>
                <w:tab w:val="clear" w:pos="567"/>
                <w:tab w:val="left" w:pos="1335" w:leader="none"/>
              </w:tabs>
              <w:suppressAutoHyphens w:val="true"/>
              <w:spacing w:before="120" w:after="0"/>
              <w:jc w:val="center"/>
              <w:rPr>
                <w:sz w:val="18"/>
                <w:szCs w:val="18"/>
              </w:rPr>
            </w:pPr>
            <w:r>
              <w:rPr>
                <w:rFonts w:eastAsia="Calibri" w:cs="Times New Roman"/>
                <w:kern w:val="0"/>
                <w:sz w:val="18"/>
                <w:szCs w:val="18"/>
                <w:lang w:val="ru-RU" w:eastAsia="en-US" w:bidi="ar-SA"/>
              </w:rPr>
              <w:t>Год ввода в эксплуатацию -1971</w:t>
            </w:r>
          </w:p>
          <w:p>
            <w:pPr>
              <w:pStyle w:val="Normal"/>
              <w:widowControl w:val="false"/>
              <w:tabs>
                <w:tab w:val="clear" w:pos="567"/>
                <w:tab w:val="left" w:pos="1335" w:leader="none"/>
              </w:tabs>
              <w:suppressAutoHyphens w:val="true"/>
              <w:jc w:val="center"/>
              <w:rPr>
                <w:sz w:val="18"/>
                <w:szCs w:val="18"/>
              </w:rPr>
            </w:pPr>
            <w:r>
              <w:rPr>
                <w:rFonts w:eastAsia="Calibri" w:cs="Times New Roman"/>
                <w:kern w:val="0"/>
                <w:sz w:val="18"/>
                <w:szCs w:val="18"/>
                <w:lang w:val="ru-RU" w:eastAsia="en-US" w:bidi="ar-SA"/>
              </w:rPr>
              <w:t>диаметр трубопроводов – 219-325; 150 мм</w:t>
            </w:r>
          </w:p>
          <w:p>
            <w:pPr>
              <w:pStyle w:val="Normal"/>
              <w:widowControl w:val="false"/>
              <w:tabs>
                <w:tab w:val="clear" w:pos="567"/>
                <w:tab w:val="left" w:pos="1335" w:leader="none"/>
              </w:tabs>
              <w:suppressAutoHyphens w:val="true"/>
              <w:jc w:val="center"/>
              <w:rPr>
                <w:rFonts w:eastAsia="Calibri"/>
                <w:sz w:val="18"/>
                <w:szCs w:val="18"/>
              </w:rPr>
            </w:pPr>
            <w:r>
              <w:rPr>
                <w:rFonts w:eastAsia="Calibri" w:cs="Times New Roman"/>
                <w:kern w:val="0"/>
                <w:sz w:val="18"/>
                <w:szCs w:val="18"/>
                <w:lang w:val="ru-RU" w:eastAsia="en-US" w:bidi="ar-SA"/>
              </w:rPr>
              <w:t>материал труб – сталь</w:t>
            </w:r>
          </w:p>
          <w:p>
            <w:pPr>
              <w:pStyle w:val="Normal"/>
              <w:widowControl w:val="false"/>
              <w:tabs>
                <w:tab w:val="clear" w:pos="567"/>
                <w:tab w:val="left" w:pos="1335" w:leader="none"/>
              </w:tabs>
              <w:suppressAutoHyphens w:val="true"/>
              <w:jc w:val="center"/>
              <w:rPr>
                <w:sz w:val="18"/>
                <w:szCs w:val="18"/>
              </w:rPr>
            </w:pPr>
            <w:r>
              <w:rPr>
                <w:rFonts w:eastAsia="Calibri" w:cs="Times New Roman"/>
                <w:kern w:val="0"/>
                <w:sz w:val="18"/>
                <w:szCs w:val="18"/>
                <w:lang w:val="ru-RU" w:eastAsia="en-US" w:bidi="ar-SA"/>
              </w:rPr>
              <w:t>материал изоляции минвата</w:t>
            </w:r>
          </w:p>
        </w:tc>
        <w:tc>
          <w:tcPr>
            <w:tcW w:w="1701" w:type="dxa"/>
            <w:tcBorders/>
            <w:vAlign w:val="center"/>
          </w:tcPr>
          <w:p>
            <w:pPr>
              <w:pStyle w:val="Normal"/>
              <w:widowControl w:val="false"/>
              <w:suppressAutoHyphens w:val="true"/>
              <w:spacing w:before="0" w:after="0"/>
              <w:jc w:val="center"/>
              <w:rPr>
                <w:sz w:val="18"/>
                <w:szCs w:val="18"/>
              </w:rPr>
            </w:pPr>
            <w:r>
              <w:rPr>
                <w:rFonts w:eastAsia="Calibri" w:cs="Times New Roman"/>
                <w:kern w:val="0"/>
                <w:sz w:val="18"/>
                <w:szCs w:val="18"/>
                <w:lang w:val="ru-RU" w:eastAsia="en-US" w:bidi="ar-SA"/>
              </w:rPr>
              <w:t>28:03:000000:2256-28/055/2021-1 от 24.12.2021</w:t>
            </w:r>
          </w:p>
        </w:tc>
      </w:tr>
    </w:tbl>
    <w:p>
      <w:pPr>
        <w:pStyle w:val="Normal"/>
        <w:jc w:val="left"/>
        <w:rPr>
          <w:u w:val="single"/>
        </w:rPr>
      </w:pPr>
      <w:r>
        <w:rPr>
          <w:u w:val="single"/>
        </w:rPr>
        <w:t>Фото объекта:</w:t>
      </w:r>
    </w:p>
    <w:tbl>
      <w:tblPr>
        <w:tblStyle w:val="afff8"/>
        <w:tblW w:w="9488"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768"/>
        <w:gridCol w:w="4719"/>
      </w:tblGrid>
      <w:tr>
        <w:trPr/>
        <w:tc>
          <w:tcPr>
            <w:tcW w:w="4768"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mc:AlternateContent>
                <mc:Choice Requires="wps">
                  <w:drawing>
                    <wp:inline distT="0" distB="0" distL="0" distR="0" wp14:anchorId="3F5B1405">
                      <wp:extent cx="3511550" cy="2635250"/>
                      <wp:effectExtent l="10160" t="0" r="0" b="1905"/>
                      <wp:docPr id="1" name="Рисунок 4" descr="C:\Users\SolomkoNV\Desktop\Объекты оценки\Фото теплосети\Теплосети МТС и МПВ\20231023_170339.jpg"/>
                      <a:graphic xmlns:a="http://schemas.openxmlformats.org/drawingml/2006/main">
                        <a:graphicData uri="http://schemas.openxmlformats.org/drawingml/2006/picture">
                          <pic:pic xmlns:pic="http://schemas.openxmlformats.org/drawingml/2006/picture">
                            <pic:nvPicPr>
                              <pic:cNvPr id="0" name="Рисунок 4" descr="C:\Users\SolomkoNV\Desktop\Объекты оценки\Фото теплосети\Теплосети МТС и МПВ\20231023_170339.jpg"/>
                              <pic:cNvPicPr/>
                            </pic:nvPicPr>
                            <pic:blipFill>
                              <a:blip r:embed="rId7"/>
                              <a:stretch/>
                            </pic:blipFill>
                            <pic:spPr>
                              <a:xfrm rot="5400000">
                                <a:off x="0" y="0"/>
                                <a:ext cx="3511440" cy="263520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4" stroked="f" o:allowincell="f" style="position:absolute;margin-left:-34.5pt;margin-top:-242.2pt;width:276.45pt;height:207.45pt;mso-wrap-style:none;v-text-anchor:middle;rotation:90;mso-position-vertical:top" wp14:anchorId="3F5B1405" type="_x0000_t75">
                      <v:imagedata r:id="rId8" o:detectmouseclick="t"/>
                      <v:stroke color="#3465a4" joinstyle="round" endcap="flat"/>
                      <w10:wrap type="square"/>
                    </v:shape>
                  </w:pict>
                </mc:Fallback>
              </mc:AlternateContent>
            </w:r>
          </w:p>
        </w:tc>
        <w:tc>
          <w:tcPr>
            <w:tcW w:w="4719" w:type="dxa"/>
            <w:tcBorders/>
          </w:tcPr>
          <w:p>
            <w:pPr>
              <w:pStyle w:val="Normal"/>
              <w:widowControl w:val="false"/>
              <w:suppressAutoHyphens w:val="true"/>
              <w:spacing w:before="120" w:after="0"/>
              <w:jc w:val="center"/>
              <w:rPr>
                <w:rFonts w:ascii="Times New Roman" w:hAnsi="Times New Roman" w:eastAsia="Times New Roman" w:cs="Times New Roman"/>
                <w:kern w:val="0"/>
                <w:sz w:val="26"/>
                <w:szCs w:val="26"/>
                <w:lang w:val="ru-RU" w:eastAsia="ru-RU" w:bidi="ar-SA"/>
              </w:rPr>
            </w:pPr>
            <w:r>
              <w:rPr/>
              <mc:AlternateContent>
                <mc:Choice Requires="wps">
                  <w:drawing>
                    <wp:inline distT="0" distB="0" distL="0" distR="0" wp14:anchorId="070EEA98">
                      <wp:extent cx="3521075" cy="2641600"/>
                      <wp:effectExtent l="13335" t="0" r="0" b="6350"/>
                      <wp:docPr id="2" name="Рисунок 12" descr="C:\Users\SolomkoNV\Desktop\Объекты оценки\Фото теплосети\Теплосети МТС и МПВ\20231023_170327.jpg"/>
                      <a:graphic xmlns:a="http://schemas.openxmlformats.org/drawingml/2006/main">
                        <a:graphicData uri="http://schemas.openxmlformats.org/drawingml/2006/picture">
                          <pic:pic xmlns:pic="http://schemas.openxmlformats.org/drawingml/2006/picture">
                            <pic:nvPicPr>
                              <pic:cNvPr id="1" name="Рисунок 12" descr="C:\Users\SolomkoNV\Desktop\Объекты оценки\Фото теплосети\Теплосети МТС и МПВ\20231023_170327.jpg"/>
                              <pic:cNvPicPr/>
                            </pic:nvPicPr>
                            <pic:blipFill>
                              <a:blip r:embed="rId9"/>
                              <a:stretch/>
                            </pic:blipFill>
                            <pic:spPr>
                              <a:xfrm rot="5400000">
                                <a:off x="0" y="0"/>
                                <a:ext cx="3521160" cy="2641680"/>
                              </a:xfrm>
                              <a:prstGeom prst="rect">
                                <a:avLst/>
                              </a:prstGeom>
                              <a:ln w="0">
                                <a:noFill/>
                              </a:ln>
                            </pic:spPr>
                          </pic:pic>
                        </a:graphicData>
                      </a:graphic>
                    </wp:inline>
                  </w:drawing>
                </mc:Choice>
                <mc:Fallback>
                  <w:pict>
                    <v:shape id="shape_0" ID="Рисунок 12" stroked="f" o:allowincell="f" style="position:absolute;margin-left:-34.6pt;margin-top:-243.25pt;width:277.2pt;height:207.95pt;mso-wrap-style:none;v-text-anchor:middle;rotation:90;mso-position-vertical:top" wp14:anchorId="070EEA98" type="_x0000_t75">
                      <v:imagedata r:id="rId10" o:detectmouseclick="t"/>
                      <v:stroke color="#3465a4" joinstyle="round" endcap="flat"/>
                      <w10:wrap type="square"/>
                    </v:shape>
                  </w:pict>
                </mc:Fallback>
              </mc:AlternateContent>
            </w:r>
          </w:p>
        </w:tc>
      </w:tr>
    </w:tbl>
    <w:p>
      <w:pPr>
        <w:pStyle w:val="Normal"/>
        <w:jc w:val="left"/>
        <w:rPr/>
      </w:pPr>
      <w:r>
        <w:rPr/>
      </w:r>
    </w:p>
    <w:tbl>
      <w:tblPr>
        <w:tblStyle w:val="211"/>
        <w:tblW w:w="9639"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462"/>
        <w:gridCol w:w="2370"/>
        <w:gridCol w:w="1420"/>
        <w:gridCol w:w="1276"/>
        <w:gridCol w:w="2409"/>
        <w:gridCol w:w="1701"/>
      </w:tblGrid>
      <w:tr>
        <w:trPr>
          <w:tblHeader w:val="true"/>
          <w:trHeight w:val="795" w:hRule="atLeast"/>
        </w:trPr>
        <w:tc>
          <w:tcPr>
            <w:tcW w:w="462" w:type="dxa"/>
            <w:tcBorders/>
          </w:tcPr>
          <w:p>
            <w:pPr>
              <w:pStyle w:val="Normal"/>
              <w:widowControl w:val="false"/>
              <w:suppressAutoHyphens w:val="true"/>
              <w:spacing w:before="0" w:after="0"/>
              <w:jc w:val="center"/>
              <w:rPr>
                <w:bCs/>
                <w:sz w:val="18"/>
                <w:szCs w:val="18"/>
              </w:rPr>
            </w:pPr>
            <w:r>
              <w:rPr>
                <w:rFonts w:eastAsia="Times New Roman" w:cs="Times New Roman"/>
                <w:kern w:val="0"/>
                <w:sz w:val="18"/>
                <w:szCs w:val="18"/>
                <w:lang w:val="ru-RU" w:eastAsia="en-US" w:bidi="ar-SA"/>
              </w:rPr>
              <w:t>№</w:t>
            </w:r>
          </w:p>
        </w:tc>
        <w:tc>
          <w:tcPr>
            <w:tcW w:w="2370" w:type="dxa"/>
            <w:tcBorders/>
          </w:tcPr>
          <w:p>
            <w:pPr>
              <w:pStyle w:val="Normal"/>
              <w:widowControl w:val="false"/>
              <w:suppressAutoHyphens w:val="true"/>
              <w:spacing w:before="0" w:after="0"/>
              <w:jc w:val="center"/>
              <w:rPr>
                <w:bCs/>
                <w:sz w:val="18"/>
                <w:szCs w:val="18"/>
                <w:highlight w:val="yellow"/>
              </w:rPr>
            </w:pPr>
            <w:r>
              <w:rPr>
                <w:rFonts w:eastAsia="Times New Roman" w:cs="Times New Roman"/>
                <w:kern w:val="0"/>
                <w:sz w:val="18"/>
                <w:szCs w:val="18"/>
                <w:lang w:val="ru-RU" w:eastAsia="en-US" w:bidi="ar-SA"/>
              </w:rPr>
              <w:t>Наименование объекта недвижимого имущества (сведения ЕГРН)</w:t>
            </w:r>
          </w:p>
        </w:tc>
        <w:tc>
          <w:tcPr>
            <w:tcW w:w="1420" w:type="dxa"/>
            <w:tcBorders/>
          </w:tcPr>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rPr>
            </w:pPr>
            <w:r>
              <w:rPr>
                <w:rFonts w:eastAsia="Times New Roman" w:cs="Times New Roman"/>
                <w:kern w:val="0"/>
                <w:sz w:val="18"/>
                <w:szCs w:val="18"/>
                <w:lang w:val="ru-RU" w:eastAsia="en-US" w:bidi="ar-SA"/>
              </w:rPr>
              <w:t>Протяжен-</w:t>
            </w:r>
          </w:p>
          <w:p>
            <w:pPr>
              <w:pStyle w:val="Normal"/>
              <w:widowControl w:val="false"/>
              <w:suppressAutoHyphens w:val="true"/>
              <w:spacing w:before="0" w:after="0"/>
              <w:jc w:val="center"/>
              <w:rPr>
                <w:bCs/>
                <w:sz w:val="18"/>
                <w:szCs w:val="18"/>
                <w:highlight w:val="yellow"/>
              </w:rPr>
            </w:pPr>
            <w:r>
              <w:rPr>
                <w:rFonts w:eastAsia="Times New Roman" w:cs="Times New Roman"/>
                <w:kern w:val="0"/>
                <w:sz w:val="18"/>
                <w:szCs w:val="18"/>
                <w:lang w:val="ru-RU" w:eastAsia="en-US" w:bidi="ar-SA"/>
              </w:rPr>
              <w:t>ность, м</w:t>
            </w:r>
          </w:p>
        </w:tc>
        <w:tc>
          <w:tcPr>
            <w:tcW w:w="1276" w:type="dxa"/>
            <w:tcBorders/>
          </w:tcPr>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bCs/>
                <w:sz w:val="18"/>
                <w:szCs w:val="18"/>
                <w:highlight w:val="yellow"/>
              </w:rPr>
            </w:pPr>
            <w:r>
              <w:rPr>
                <w:rFonts w:eastAsia="Times New Roman" w:cs="Times New Roman"/>
                <w:kern w:val="0"/>
                <w:sz w:val="18"/>
                <w:szCs w:val="18"/>
                <w:lang w:val="ru-RU" w:eastAsia="en-US" w:bidi="ar-SA"/>
              </w:rPr>
              <w:t xml:space="preserve">Кадастровый номер </w:t>
            </w:r>
          </w:p>
        </w:tc>
        <w:tc>
          <w:tcPr>
            <w:tcW w:w="2409" w:type="dxa"/>
            <w:tcBorders/>
          </w:tcPr>
          <w:p>
            <w:pPr>
              <w:pStyle w:val="Normal"/>
              <w:widowControl w:val="false"/>
              <w:suppressAutoHyphens w:val="true"/>
              <w:spacing w:before="0" w:after="0"/>
              <w:jc w:val="center"/>
              <w:rPr>
                <w:bCs/>
                <w:sz w:val="18"/>
                <w:szCs w:val="18"/>
                <w:highlight w:val="yellow"/>
              </w:rPr>
            </w:pPr>
            <w:r>
              <w:rPr>
                <w:rFonts w:eastAsia="Calibri" w:cs="Times New Roman"/>
                <w:bCs/>
                <w:kern w:val="0"/>
                <w:sz w:val="18"/>
                <w:szCs w:val="18"/>
                <w:lang w:val="ru-RU" w:eastAsia="en-US" w:bidi="ar-SA"/>
              </w:rPr>
              <w:t>Основная характеристика</w:t>
            </w:r>
            <w:r>
              <w:rPr>
                <w:rFonts w:eastAsia="Calibri" w:cs="Times New Roman"/>
                <w:bCs/>
                <w:kern w:val="0"/>
                <w:sz w:val="18"/>
                <w:szCs w:val="18"/>
                <w:highlight w:val="yellow"/>
                <w:lang w:val="ru-RU" w:eastAsia="en-US" w:bidi="ar-SA"/>
              </w:rPr>
              <w:t xml:space="preserve"> </w:t>
            </w:r>
          </w:p>
        </w:tc>
        <w:tc>
          <w:tcPr>
            <w:tcW w:w="1701" w:type="dxa"/>
            <w:tcBorders/>
          </w:tcPr>
          <w:p>
            <w:pPr>
              <w:pStyle w:val="Normal"/>
              <w:widowControl w:val="false"/>
              <w:suppressAutoHyphens w:val="true"/>
              <w:spacing w:before="0" w:after="0"/>
              <w:jc w:val="center"/>
              <w:rPr>
                <w:rFonts w:eastAsia="Calibri"/>
                <w:bCs/>
                <w:sz w:val="18"/>
                <w:szCs w:val="18"/>
                <w:highlight w:val="yellow"/>
              </w:rPr>
            </w:pPr>
            <w:r>
              <w:rPr>
                <w:rFonts w:eastAsia="Calibri"/>
                <w:bCs/>
                <w:sz w:val="18"/>
                <w:szCs w:val="18"/>
                <w:highlight w:val="yellow"/>
              </w:rPr>
            </w:r>
          </w:p>
          <w:p>
            <w:pPr>
              <w:pStyle w:val="Normal"/>
              <w:widowControl w:val="false"/>
              <w:suppressAutoHyphens w:val="true"/>
              <w:spacing w:before="0" w:after="0"/>
              <w:jc w:val="center"/>
              <w:rPr>
                <w:rFonts w:eastAsia="Calibri"/>
                <w:bCs/>
                <w:sz w:val="18"/>
                <w:szCs w:val="18"/>
              </w:rPr>
            </w:pPr>
            <w:r>
              <w:rPr>
                <w:rFonts w:eastAsia="Calibri" w:cs="Times New Roman"/>
                <w:bCs/>
                <w:kern w:val="0"/>
                <w:sz w:val="18"/>
                <w:szCs w:val="18"/>
                <w:lang w:val="ru-RU" w:eastAsia="en-US" w:bidi="ar-SA"/>
              </w:rPr>
              <w:t>Запись в ЕГРН</w:t>
            </w:r>
          </w:p>
          <w:p>
            <w:pPr>
              <w:pStyle w:val="Normal"/>
              <w:widowControl w:val="false"/>
              <w:suppressAutoHyphens w:val="true"/>
              <w:spacing w:before="0" w:after="0"/>
              <w:jc w:val="center"/>
              <w:rPr>
                <w:bCs/>
                <w:sz w:val="18"/>
                <w:szCs w:val="18"/>
                <w:highlight w:val="yellow"/>
              </w:rPr>
            </w:pPr>
            <w:r>
              <w:rPr>
                <w:rFonts w:eastAsia="Calibri" w:cs="Times New Roman"/>
                <w:bCs/>
                <w:kern w:val="0"/>
                <w:sz w:val="18"/>
                <w:szCs w:val="18"/>
                <w:lang w:val="ru-RU" w:eastAsia="en-US" w:bidi="ar-SA"/>
              </w:rPr>
              <w:t xml:space="preserve"> </w:t>
            </w:r>
            <w:r>
              <w:rPr>
                <w:rFonts w:eastAsia="Calibri" w:cs="Times New Roman"/>
                <w:bCs/>
                <w:kern w:val="0"/>
                <w:sz w:val="18"/>
                <w:szCs w:val="18"/>
                <w:lang w:val="ru-RU" w:eastAsia="en-US" w:bidi="ar-SA"/>
              </w:rPr>
              <w:t>(номер, дата)</w:t>
            </w:r>
          </w:p>
        </w:tc>
      </w:tr>
      <w:tr>
        <w:trPr>
          <w:trHeight w:val="1325" w:hRule="atLeast"/>
        </w:trPr>
        <w:tc>
          <w:tcPr>
            <w:tcW w:w="462" w:type="dxa"/>
            <w:tcBorders/>
          </w:tcPr>
          <w:p>
            <w:pPr>
              <w:pStyle w:val="Normal"/>
              <w:widowControl w:val="false"/>
              <w:suppressAutoHyphens w:val="true"/>
              <w:spacing w:before="0" w:after="0"/>
              <w:jc w:val="center"/>
              <w:rPr>
                <w:sz w:val="18"/>
                <w:szCs w:val="18"/>
              </w:rPr>
            </w:pPr>
            <w:r>
              <w:rPr>
                <w:rFonts w:eastAsia="Calibri" w:cs="Times New Roman"/>
                <w:kern w:val="0"/>
                <w:sz w:val="18"/>
                <w:szCs w:val="18"/>
                <w:lang w:val="ru-RU" w:eastAsia="en-US" w:bidi="ar-SA"/>
              </w:rPr>
              <w:t>2</w:t>
            </w:r>
          </w:p>
        </w:tc>
        <w:tc>
          <w:tcPr>
            <w:tcW w:w="2370" w:type="dxa"/>
            <w:tcBorders/>
          </w:tcPr>
          <w:p>
            <w:pPr>
              <w:pStyle w:val="Normal"/>
              <w:widowControl w:val="false"/>
              <w:suppressAutoHyphens w:val="true"/>
              <w:spacing w:before="0" w:after="0"/>
              <w:jc w:val="left"/>
              <w:rPr>
                <w:rFonts w:eastAsia="Calibri"/>
                <w:sz w:val="18"/>
                <w:szCs w:val="18"/>
              </w:rPr>
            </w:pPr>
            <w:r>
              <w:rPr>
                <w:rFonts w:eastAsia="Calibri" w:cs="Times New Roman"/>
                <w:b/>
                <w:kern w:val="0"/>
                <w:sz w:val="18"/>
                <w:szCs w:val="18"/>
                <w:lang w:val="ru-RU" w:eastAsia="en-US" w:bidi="ar-SA"/>
              </w:rPr>
              <w:t>Магистральные теплосети 2 очереди опорной базы УНП</w:t>
            </w:r>
            <w:r>
              <w:rPr>
                <w:rFonts w:eastAsia="Calibri" w:cs="Times New Roman"/>
                <w:kern w:val="0"/>
                <w:sz w:val="18"/>
                <w:szCs w:val="18"/>
                <w:lang w:val="ru-RU" w:eastAsia="en-US" w:bidi="ar-SA"/>
              </w:rPr>
              <w:t xml:space="preserve"> </w:t>
            </w:r>
          </w:p>
          <w:p>
            <w:pPr>
              <w:pStyle w:val="Normal"/>
              <w:widowControl w:val="false"/>
              <w:suppressAutoHyphens w:val="true"/>
              <w:spacing w:before="0" w:after="0"/>
              <w:jc w:val="left"/>
              <w:rPr>
                <w:rFonts w:eastAsia="Calibri"/>
                <w:sz w:val="18"/>
                <w:szCs w:val="18"/>
              </w:rPr>
            </w:pPr>
            <w:r>
              <w:rPr>
                <w:rFonts w:eastAsia="Calibri" w:cs="Times New Roman"/>
                <w:kern w:val="0"/>
                <w:sz w:val="18"/>
                <w:szCs w:val="18"/>
                <w:lang w:val="ru-RU" w:eastAsia="en-US" w:bidi="ar-SA"/>
              </w:rPr>
              <w:t>в т.ч.</w:t>
            </w:r>
          </w:p>
          <w:p>
            <w:pPr>
              <w:pStyle w:val="Normal"/>
              <w:widowControl w:val="false"/>
              <w:suppressAutoHyphens w:val="true"/>
              <w:spacing w:before="0" w:after="0"/>
              <w:jc w:val="left"/>
              <w:rPr>
                <w:i/>
                <w:i/>
                <w:sz w:val="18"/>
                <w:szCs w:val="18"/>
              </w:rPr>
            </w:pPr>
            <w:r>
              <w:rPr>
                <w:rFonts w:eastAsia="Calibri" w:cs="Times New Roman"/>
                <w:i/>
                <w:kern w:val="0"/>
                <w:sz w:val="18"/>
                <w:szCs w:val="18"/>
                <w:lang w:val="ru-RU" w:eastAsia="en-US" w:bidi="ar-SA"/>
              </w:rPr>
              <w:t>надземная прокладка</w:t>
            </w:r>
          </w:p>
        </w:tc>
        <w:tc>
          <w:tcPr>
            <w:tcW w:w="1420" w:type="dxa"/>
            <w:tcBorders/>
          </w:tcPr>
          <w:p>
            <w:pPr>
              <w:pStyle w:val="Normal"/>
              <w:widowControl w:val="false"/>
              <w:suppressAutoHyphens w:val="true"/>
              <w:spacing w:before="0" w:after="0"/>
              <w:jc w:val="center"/>
              <w:rPr>
                <w:rFonts w:eastAsia="Calibri"/>
                <w:sz w:val="18"/>
                <w:szCs w:val="18"/>
              </w:rPr>
            </w:pPr>
            <w:r>
              <w:rPr>
                <w:rFonts w:eastAsia="Calibri"/>
                <w:sz w:val="18"/>
                <w:szCs w:val="18"/>
              </w:rPr>
            </w:r>
          </w:p>
          <w:p>
            <w:pPr>
              <w:pStyle w:val="Normal"/>
              <w:widowControl w:val="false"/>
              <w:suppressAutoHyphens w:val="true"/>
              <w:spacing w:before="0" w:after="0"/>
              <w:jc w:val="center"/>
              <w:rPr>
                <w:rFonts w:eastAsia="Calibri"/>
                <w:sz w:val="18"/>
                <w:szCs w:val="18"/>
              </w:rPr>
            </w:pPr>
            <w:r>
              <w:rPr>
                <w:rFonts w:eastAsia="Calibri" w:cs="Times New Roman"/>
                <w:kern w:val="0"/>
                <w:sz w:val="18"/>
                <w:szCs w:val="18"/>
                <w:lang w:val="ru-RU" w:eastAsia="en-US" w:bidi="ar-SA"/>
              </w:rPr>
              <w:t>116</w:t>
            </w:r>
          </w:p>
          <w:p>
            <w:pPr>
              <w:pStyle w:val="Normal"/>
              <w:widowControl w:val="false"/>
              <w:suppressAutoHyphens w:val="true"/>
              <w:spacing w:before="0" w:after="0"/>
              <w:jc w:val="center"/>
              <w:rPr>
                <w:rFonts w:eastAsia="Calibri"/>
                <w:sz w:val="18"/>
                <w:szCs w:val="18"/>
              </w:rPr>
            </w:pPr>
            <w:r>
              <w:rPr>
                <w:rFonts w:eastAsia="Calibri"/>
                <w:sz w:val="18"/>
                <w:szCs w:val="18"/>
              </w:rPr>
            </w:r>
          </w:p>
          <w:p>
            <w:pPr>
              <w:pStyle w:val="Normal"/>
              <w:widowControl w:val="false"/>
              <w:suppressAutoHyphens w:val="true"/>
              <w:spacing w:before="0" w:after="0"/>
              <w:jc w:val="center"/>
              <w:rPr>
                <w:rFonts w:eastAsia="Calibri"/>
                <w:sz w:val="18"/>
                <w:szCs w:val="18"/>
              </w:rPr>
            </w:pPr>
            <w:r>
              <w:rPr>
                <w:rFonts w:eastAsia="Calibri"/>
                <w:sz w:val="18"/>
                <w:szCs w:val="18"/>
              </w:rPr>
            </w:r>
          </w:p>
          <w:p>
            <w:pPr>
              <w:pStyle w:val="Normal"/>
              <w:widowControl w:val="false"/>
              <w:suppressAutoHyphens w:val="true"/>
              <w:spacing w:before="0" w:after="0"/>
              <w:jc w:val="center"/>
              <w:rPr>
                <w:i/>
                <w:i/>
                <w:sz w:val="18"/>
                <w:szCs w:val="18"/>
              </w:rPr>
            </w:pPr>
            <w:r>
              <w:rPr>
                <w:rFonts w:eastAsia="Calibri" w:cs="Times New Roman"/>
                <w:i/>
                <w:kern w:val="0"/>
                <w:sz w:val="18"/>
                <w:szCs w:val="18"/>
                <w:lang w:val="ru-RU" w:eastAsia="en-US" w:bidi="ar-SA"/>
              </w:rPr>
              <w:t>116</w:t>
            </w:r>
          </w:p>
        </w:tc>
        <w:tc>
          <w:tcPr>
            <w:tcW w:w="1276" w:type="dxa"/>
            <w:tcBorders/>
          </w:tcPr>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highlight w:val="yellow"/>
              </w:rPr>
            </w:pPr>
            <w:r>
              <w:rPr>
                <w:rFonts w:eastAsia="Times New Roman" w:cs="Times New Roman"/>
                <w:kern w:val="0"/>
                <w:sz w:val="18"/>
                <w:szCs w:val="18"/>
                <w:lang w:val="ru-RU" w:eastAsia="en-US" w:bidi="ar-SA"/>
              </w:rPr>
              <w:t>28:03:020003:520</w:t>
            </w:r>
          </w:p>
        </w:tc>
        <w:tc>
          <w:tcPr>
            <w:tcW w:w="2409" w:type="dxa"/>
            <w:tcBorders/>
          </w:tcPr>
          <w:p>
            <w:pPr>
              <w:pStyle w:val="Normal"/>
              <w:widowControl w:val="false"/>
              <w:tabs>
                <w:tab w:val="clear" w:pos="567"/>
                <w:tab w:val="left" w:pos="1335" w:leader="none"/>
              </w:tabs>
              <w:suppressAutoHyphens w:val="true"/>
              <w:spacing w:before="120" w:after="0"/>
              <w:jc w:val="center"/>
              <w:rPr>
                <w:sz w:val="18"/>
                <w:szCs w:val="18"/>
              </w:rPr>
            </w:pPr>
            <w:r>
              <w:rPr>
                <w:rFonts w:eastAsia="Times New Roman" w:cs="Times New Roman"/>
                <w:kern w:val="0"/>
                <w:sz w:val="18"/>
                <w:szCs w:val="18"/>
                <w:lang w:val="ru-RU" w:eastAsia="en-US" w:bidi="ar-SA"/>
              </w:rPr>
              <w:t>Год ввода в эксплуатацию -1999</w:t>
            </w:r>
          </w:p>
          <w:p>
            <w:pPr>
              <w:pStyle w:val="Normal"/>
              <w:widowControl w:val="false"/>
              <w:tabs>
                <w:tab w:val="clear" w:pos="567"/>
                <w:tab w:val="left" w:pos="1335" w:leader="none"/>
              </w:tabs>
              <w:suppressAutoHyphens w:val="true"/>
              <w:jc w:val="center"/>
              <w:rPr>
                <w:rFonts w:eastAsia="Calibri"/>
                <w:sz w:val="18"/>
                <w:szCs w:val="18"/>
              </w:rPr>
            </w:pPr>
            <w:r>
              <w:rPr>
                <w:rFonts w:eastAsia="Calibri" w:cs="Times New Roman"/>
                <w:kern w:val="0"/>
                <w:sz w:val="18"/>
                <w:szCs w:val="18"/>
                <w:lang w:val="ru-RU" w:eastAsia="en-US" w:bidi="ar-SA"/>
              </w:rPr>
              <w:t>диаметр трубопроводов –159 мм</w:t>
            </w:r>
          </w:p>
          <w:p>
            <w:pPr>
              <w:pStyle w:val="Normal"/>
              <w:widowControl w:val="false"/>
              <w:tabs>
                <w:tab w:val="clear" w:pos="567"/>
                <w:tab w:val="left" w:pos="1335" w:leader="none"/>
              </w:tabs>
              <w:suppressAutoHyphens w:val="true"/>
              <w:jc w:val="center"/>
              <w:rPr>
                <w:rFonts w:eastAsia="Calibri"/>
                <w:sz w:val="18"/>
                <w:szCs w:val="18"/>
              </w:rPr>
            </w:pPr>
            <w:r>
              <w:rPr>
                <w:rFonts w:eastAsia="Calibri" w:cs="Times New Roman"/>
                <w:kern w:val="0"/>
                <w:sz w:val="18"/>
                <w:szCs w:val="18"/>
                <w:lang w:val="ru-RU" w:eastAsia="en-US" w:bidi="ar-SA"/>
              </w:rPr>
              <w:t>материал труб – сталь</w:t>
            </w:r>
          </w:p>
          <w:p>
            <w:pPr>
              <w:pStyle w:val="Normal"/>
              <w:widowControl w:val="false"/>
              <w:tabs>
                <w:tab w:val="clear" w:pos="567"/>
                <w:tab w:val="left" w:pos="1335" w:leader="none"/>
              </w:tabs>
              <w:suppressAutoHyphens w:val="true"/>
              <w:jc w:val="center"/>
              <w:rPr>
                <w:sz w:val="18"/>
                <w:szCs w:val="18"/>
                <w:highlight w:val="yellow"/>
              </w:rPr>
            </w:pPr>
            <w:r>
              <w:rPr>
                <w:rFonts w:eastAsia="Calibri" w:cs="Times New Roman"/>
                <w:kern w:val="0"/>
                <w:sz w:val="18"/>
                <w:szCs w:val="18"/>
                <w:lang w:val="ru-RU" w:eastAsia="en-US" w:bidi="ar-SA"/>
              </w:rPr>
              <w:t>материал изоляции минвата</w:t>
            </w:r>
          </w:p>
        </w:tc>
        <w:tc>
          <w:tcPr>
            <w:tcW w:w="1701" w:type="dxa"/>
            <w:tcBorders/>
          </w:tcPr>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highlight w:val="yellow"/>
              </w:rPr>
            </w:pPr>
            <w:r>
              <w:rPr>
                <w:rFonts w:eastAsia="Times New Roman" w:cs="Times New Roman"/>
                <w:kern w:val="0"/>
                <w:sz w:val="18"/>
                <w:szCs w:val="18"/>
                <w:lang w:val="ru-RU" w:eastAsia="en-US" w:bidi="ar-SA"/>
              </w:rPr>
              <w:t>28:03:020003:520-28/055/2021-1 от 25.12.2021</w:t>
            </w:r>
          </w:p>
        </w:tc>
      </w:tr>
    </w:tbl>
    <w:p>
      <w:pPr>
        <w:pStyle w:val="Normal"/>
        <w:jc w:val="left"/>
        <w:rPr>
          <w:u w:val="single"/>
        </w:rPr>
      </w:pPr>
      <w:r>
        <w:rPr>
          <w:u w:val="single"/>
        </w:rPr>
      </w:r>
    </w:p>
    <w:p>
      <w:pPr>
        <w:pStyle w:val="Normal"/>
        <w:jc w:val="left"/>
        <w:rPr>
          <w:u w:val="single"/>
        </w:rPr>
      </w:pPr>
      <w:r>
        <w:rPr>
          <w:u w:val="single"/>
        </w:rPr>
      </w:r>
    </w:p>
    <w:p>
      <w:pPr>
        <w:pStyle w:val="Normal"/>
        <w:jc w:val="left"/>
        <w:rPr>
          <w:u w:val="single"/>
        </w:rPr>
      </w:pPr>
      <w:r>
        <w:rPr>
          <w:u w:val="single"/>
        </w:rPr>
      </w:r>
    </w:p>
    <w:p>
      <w:pPr>
        <w:pStyle w:val="Normal"/>
        <w:jc w:val="left"/>
        <w:rPr>
          <w:u w:val="single"/>
        </w:rPr>
      </w:pPr>
      <w:r>
        <w:rPr>
          <w:u w:val="single"/>
        </w:rPr>
        <w:t>Фото объекта:</w:t>
      </w:r>
    </w:p>
    <w:tbl>
      <w:tblPr>
        <w:tblStyle w:val="afff8"/>
        <w:tblW w:w="9634"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634"/>
      </w:tblGrid>
      <w:tr>
        <w:trPr/>
        <w:tc>
          <w:tcPr>
            <w:tcW w:w="9634" w:type="dxa"/>
            <w:tcBorders/>
          </w:tcPr>
          <w:p>
            <w:pPr>
              <w:pStyle w:val="Normal"/>
              <w:widowControl w:val="false"/>
              <w:suppressAutoHyphens w:val="true"/>
              <w:spacing w:before="120" w:after="0"/>
              <w:jc w:val="center"/>
              <w:rPr>
                <w:u w:val="single"/>
              </w:rPr>
            </w:pPr>
            <w:r>
              <w:rPr/>
              <mc:AlternateContent>
                <mc:Choice Requires="wps">
                  <w:drawing>
                    <wp:inline distT="0" distB="0" distL="0" distR="0" wp14:anchorId="0835E7EF">
                      <wp:extent cx="3355975" cy="2517775"/>
                      <wp:effectExtent l="4445" t="0" r="0" b="635"/>
                      <wp:docPr id="3" name="Рисунок 17" descr="C:\Users\SolomkoNV\Desktop\Объекты оценки\Фото теплосети\Теплосети опорной  базы УНП\20231023_165834.jpg"/>
                      <a:graphic xmlns:a="http://schemas.openxmlformats.org/drawingml/2006/main">
                        <a:graphicData uri="http://schemas.openxmlformats.org/drawingml/2006/picture">
                          <pic:pic xmlns:pic="http://schemas.openxmlformats.org/drawingml/2006/picture">
                            <pic:nvPicPr>
                              <pic:cNvPr id="2" name="Рисунок 17" descr="C:\Users\SolomkoNV\Desktop\Объекты оценки\Фото теплосети\Теплосети опорной  базы УНП\20231023_165834.jpg"/>
                              <pic:cNvPicPr/>
                            </pic:nvPicPr>
                            <pic:blipFill>
                              <a:blip r:embed="rId11"/>
                              <a:stretch/>
                            </pic:blipFill>
                            <pic:spPr>
                              <a:xfrm rot="5400000">
                                <a:off x="0" y="0"/>
                                <a:ext cx="3355920" cy="2517840"/>
                              </a:xfrm>
                              <a:prstGeom prst="rect">
                                <a:avLst/>
                              </a:prstGeom>
                              <a:ln w="0">
                                <a:noFill/>
                              </a:ln>
                            </pic:spPr>
                          </pic:pic>
                        </a:graphicData>
                      </a:graphic>
                    </wp:inline>
                  </w:drawing>
                </mc:Choice>
                <mc:Fallback>
                  <w:pict>
                    <v:shape id="shape_0" ID="Рисунок 17" stroked="f" o:allowincell="f" style="position:absolute;margin-left:-32.95pt;margin-top:-231.35pt;width:264.2pt;height:198.2pt;mso-wrap-style:none;v-text-anchor:middle;rotation:90;mso-position-vertical:top" wp14:anchorId="0835E7EF" type="_x0000_t75">
                      <v:imagedata r:id="rId12" o:detectmouseclick="t"/>
                      <v:stroke color="#3465a4" joinstyle="round" endcap="flat"/>
                      <w10:wrap type="square"/>
                    </v:shape>
                  </w:pict>
                </mc:Fallback>
              </mc:AlternateContent>
            </w:r>
          </w:p>
        </w:tc>
      </w:tr>
    </w:tbl>
    <w:p>
      <w:pPr>
        <w:pStyle w:val="Normal"/>
        <w:jc w:val="left"/>
        <w:rPr>
          <w:u w:val="single"/>
        </w:rPr>
      </w:pPr>
      <w:r>
        <w:rPr>
          <w:u w:val="single"/>
        </w:rPr>
      </w:r>
    </w:p>
    <w:p>
      <w:pPr>
        <w:pStyle w:val="Normal"/>
        <w:jc w:val="center"/>
        <w:rPr/>
      </w:pPr>
      <w:r>
        <w:rPr/>
      </w:r>
    </w:p>
    <w:tbl>
      <w:tblPr>
        <w:tblStyle w:val="211"/>
        <w:tblW w:w="9586"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457"/>
        <w:gridCol w:w="2297"/>
        <w:gridCol w:w="1374"/>
        <w:gridCol w:w="1315"/>
        <w:gridCol w:w="2497"/>
        <w:gridCol w:w="1645"/>
      </w:tblGrid>
      <w:tr>
        <w:trPr>
          <w:tblHeader w:val="true"/>
          <w:trHeight w:val="795" w:hRule="atLeast"/>
        </w:trPr>
        <w:tc>
          <w:tcPr>
            <w:tcW w:w="457" w:type="dxa"/>
            <w:tcBorders/>
          </w:tcPr>
          <w:p>
            <w:pPr>
              <w:pStyle w:val="Normal"/>
              <w:widowControl w:val="false"/>
              <w:suppressAutoHyphens w:val="true"/>
              <w:spacing w:before="0" w:after="0"/>
              <w:jc w:val="center"/>
              <w:rPr>
                <w:bCs/>
                <w:sz w:val="18"/>
                <w:szCs w:val="18"/>
              </w:rPr>
            </w:pPr>
            <w:r>
              <w:rPr>
                <w:rFonts w:eastAsia="Times New Roman" w:cs="Times New Roman"/>
                <w:kern w:val="0"/>
                <w:sz w:val="18"/>
                <w:szCs w:val="18"/>
                <w:lang w:val="ru-RU" w:eastAsia="en-US" w:bidi="ar-SA"/>
              </w:rPr>
              <w:t>№</w:t>
            </w:r>
          </w:p>
        </w:tc>
        <w:tc>
          <w:tcPr>
            <w:tcW w:w="2297" w:type="dxa"/>
            <w:tcBorders/>
          </w:tcPr>
          <w:p>
            <w:pPr>
              <w:pStyle w:val="Normal"/>
              <w:widowControl w:val="false"/>
              <w:suppressAutoHyphens w:val="true"/>
              <w:spacing w:before="0" w:after="0"/>
              <w:jc w:val="center"/>
              <w:rPr>
                <w:bCs/>
                <w:sz w:val="18"/>
                <w:szCs w:val="18"/>
                <w:highlight w:val="yellow"/>
              </w:rPr>
            </w:pPr>
            <w:r>
              <w:rPr>
                <w:rFonts w:eastAsia="Times New Roman" w:cs="Times New Roman"/>
                <w:kern w:val="0"/>
                <w:sz w:val="18"/>
                <w:szCs w:val="18"/>
                <w:lang w:val="ru-RU" w:eastAsia="en-US" w:bidi="ar-SA"/>
              </w:rPr>
              <w:t>Наименование объекта недвижимого имущества (сведения ЕГРН)</w:t>
            </w:r>
          </w:p>
        </w:tc>
        <w:tc>
          <w:tcPr>
            <w:tcW w:w="1374" w:type="dxa"/>
            <w:tcBorders/>
          </w:tcPr>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rPr>
            </w:pPr>
            <w:r>
              <w:rPr>
                <w:rFonts w:eastAsia="Times New Roman" w:cs="Times New Roman"/>
                <w:kern w:val="0"/>
                <w:sz w:val="18"/>
                <w:szCs w:val="18"/>
                <w:lang w:val="ru-RU" w:eastAsia="en-US" w:bidi="ar-SA"/>
              </w:rPr>
              <w:t>Протяжен-</w:t>
            </w:r>
          </w:p>
          <w:p>
            <w:pPr>
              <w:pStyle w:val="Normal"/>
              <w:widowControl w:val="false"/>
              <w:suppressAutoHyphens w:val="true"/>
              <w:spacing w:before="0" w:after="0"/>
              <w:jc w:val="center"/>
              <w:rPr>
                <w:bCs/>
                <w:sz w:val="18"/>
                <w:szCs w:val="18"/>
                <w:highlight w:val="yellow"/>
              </w:rPr>
            </w:pPr>
            <w:r>
              <w:rPr>
                <w:rFonts w:eastAsia="Times New Roman" w:cs="Times New Roman"/>
                <w:kern w:val="0"/>
                <w:sz w:val="18"/>
                <w:szCs w:val="18"/>
                <w:lang w:val="ru-RU" w:eastAsia="en-US" w:bidi="ar-SA"/>
              </w:rPr>
              <w:t>ность, м</w:t>
            </w:r>
          </w:p>
        </w:tc>
        <w:tc>
          <w:tcPr>
            <w:tcW w:w="1315" w:type="dxa"/>
            <w:tcBorders/>
          </w:tcPr>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bCs/>
                <w:sz w:val="18"/>
                <w:szCs w:val="18"/>
                <w:highlight w:val="yellow"/>
              </w:rPr>
            </w:pPr>
            <w:r>
              <w:rPr>
                <w:rFonts w:eastAsia="Times New Roman" w:cs="Times New Roman"/>
                <w:kern w:val="0"/>
                <w:sz w:val="18"/>
                <w:szCs w:val="18"/>
                <w:lang w:val="ru-RU" w:eastAsia="en-US" w:bidi="ar-SA"/>
              </w:rPr>
              <w:t xml:space="preserve">Кадастровый номер </w:t>
            </w:r>
          </w:p>
        </w:tc>
        <w:tc>
          <w:tcPr>
            <w:tcW w:w="2497" w:type="dxa"/>
            <w:tcBorders/>
          </w:tcPr>
          <w:p>
            <w:pPr>
              <w:pStyle w:val="Normal"/>
              <w:widowControl w:val="false"/>
              <w:suppressAutoHyphens w:val="true"/>
              <w:spacing w:before="0" w:after="0"/>
              <w:jc w:val="center"/>
              <w:rPr>
                <w:bCs/>
                <w:sz w:val="18"/>
                <w:szCs w:val="18"/>
                <w:highlight w:val="yellow"/>
              </w:rPr>
            </w:pPr>
            <w:r>
              <w:rPr>
                <w:rFonts w:eastAsia="Calibri" w:cs="Times New Roman"/>
                <w:bCs/>
                <w:kern w:val="0"/>
                <w:sz w:val="18"/>
                <w:szCs w:val="18"/>
                <w:lang w:val="ru-RU" w:eastAsia="en-US" w:bidi="ar-SA"/>
              </w:rPr>
              <w:t>Основная характеристика</w:t>
            </w:r>
            <w:r>
              <w:rPr>
                <w:rFonts w:eastAsia="Calibri" w:cs="Times New Roman"/>
                <w:bCs/>
                <w:kern w:val="0"/>
                <w:sz w:val="18"/>
                <w:szCs w:val="18"/>
                <w:highlight w:val="yellow"/>
                <w:lang w:val="ru-RU" w:eastAsia="en-US" w:bidi="ar-SA"/>
              </w:rPr>
              <w:t xml:space="preserve"> </w:t>
            </w:r>
          </w:p>
        </w:tc>
        <w:tc>
          <w:tcPr>
            <w:tcW w:w="1645" w:type="dxa"/>
            <w:tcBorders/>
          </w:tcPr>
          <w:p>
            <w:pPr>
              <w:pStyle w:val="Normal"/>
              <w:widowControl w:val="false"/>
              <w:suppressAutoHyphens w:val="true"/>
              <w:spacing w:before="0" w:after="0"/>
              <w:jc w:val="center"/>
              <w:rPr>
                <w:rFonts w:eastAsia="Calibri"/>
                <w:bCs/>
                <w:sz w:val="18"/>
                <w:szCs w:val="18"/>
                <w:highlight w:val="yellow"/>
              </w:rPr>
            </w:pPr>
            <w:r>
              <w:rPr>
                <w:rFonts w:eastAsia="Calibri"/>
                <w:bCs/>
                <w:sz w:val="18"/>
                <w:szCs w:val="18"/>
                <w:highlight w:val="yellow"/>
              </w:rPr>
            </w:r>
          </w:p>
          <w:p>
            <w:pPr>
              <w:pStyle w:val="Normal"/>
              <w:widowControl w:val="false"/>
              <w:suppressAutoHyphens w:val="true"/>
              <w:spacing w:before="0" w:after="0"/>
              <w:jc w:val="center"/>
              <w:rPr>
                <w:rFonts w:eastAsia="Calibri"/>
                <w:bCs/>
                <w:sz w:val="18"/>
                <w:szCs w:val="18"/>
              </w:rPr>
            </w:pPr>
            <w:r>
              <w:rPr>
                <w:rFonts w:eastAsia="Calibri" w:cs="Times New Roman"/>
                <w:bCs/>
                <w:kern w:val="0"/>
                <w:sz w:val="18"/>
                <w:szCs w:val="18"/>
                <w:lang w:val="ru-RU" w:eastAsia="en-US" w:bidi="ar-SA"/>
              </w:rPr>
              <w:t>Запись в ЕГРН</w:t>
            </w:r>
          </w:p>
          <w:p>
            <w:pPr>
              <w:pStyle w:val="Normal"/>
              <w:widowControl w:val="false"/>
              <w:suppressAutoHyphens w:val="true"/>
              <w:spacing w:before="0" w:after="0"/>
              <w:jc w:val="center"/>
              <w:rPr>
                <w:bCs/>
                <w:sz w:val="18"/>
                <w:szCs w:val="18"/>
                <w:highlight w:val="yellow"/>
              </w:rPr>
            </w:pPr>
            <w:r>
              <w:rPr>
                <w:rFonts w:eastAsia="Calibri" w:cs="Times New Roman"/>
                <w:bCs/>
                <w:kern w:val="0"/>
                <w:sz w:val="18"/>
                <w:szCs w:val="18"/>
                <w:lang w:val="ru-RU" w:eastAsia="en-US" w:bidi="ar-SA"/>
              </w:rPr>
              <w:t xml:space="preserve"> </w:t>
            </w:r>
            <w:r>
              <w:rPr>
                <w:rFonts w:eastAsia="Calibri" w:cs="Times New Roman"/>
                <w:bCs/>
                <w:kern w:val="0"/>
                <w:sz w:val="18"/>
                <w:szCs w:val="18"/>
                <w:lang w:val="ru-RU" w:eastAsia="en-US" w:bidi="ar-SA"/>
              </w:rPr>
              <w:t>(номер, дата)</w:t>
            </w:r>
          </w:p>
        </w:tc>
      </w:tr>
      <w:tr>
        <w:trPr>
          <w:trHeight w:val="1325" w:hRule="atLeast"/>
        </w:trPr>
        <w:tc>
          <w:tcPr>
            <w:tcW w:w="457" w:type="dxa"/>
            <w:tcBorders/>
          </w:tcPr>
          <w:p>
            <w:pPr>
              <w:pStyle w:val="Normal"/>
              <w:widowControl w:val="false"/>
              <w:suppressAutoHyphens w:val="true"/>
              <w:spacing w:before="0" w:after="0"/>
              <w:jc w:val="center"/>
              <w:rPr>
                <w:sz w:val="18"/>
                <w:szCs w:val="18"/>
              </w:rPr>
            </w:pPr>
            <w:r>
              <w:rPr>
                <w:rFonts w:eastAsia="Calibri" w:cs="Times New Roman"/>
                <w:kern w:val="0"/>
                <w:sz w:val="18"/>
                <w:szCs w:val="18"/>
                <w:lang w:val="ru-RU" w:eastAsia="en-US" w:bidi="ar-SA"/>
              </w:rPr>
              <w:t>3</w:t>
            </w:r>
          </w:p>
        </w:tc>
        <w:tc>
          <w:tcPr>
            <w:tcW w:w="2297" w:type="dxa"/>
            <w:tcBorders/>
          </w:tcPr>
          <w:p>
            <w:pPr>
              <w:pStyle w:val="Normal"/>
              <w:widowControl w:val="false"/>
              <w:suppressAutoHyphens w:val="true"/>
              <w:spacing w:before="0" w:after="0"/>
              <w:jc w:val="left"/>
              <w:rPr>
                <w:rFonts w:eastAsia="Calibri"/>
                <w:b/>
                <w:sz w:val="18"/>
                <w:szCs w:val="18"/>
              </w:rPr>
            </w:pPr>
            <w:r>
              <w:rPr>
                <w:rFonts w:eastAsia="Calibri" w:cs="Times New Roman"/>
                <w:b/>
                <w:kern w:val="0"/>
                <w:sz w:val="18"/>
                <w:szCs w:val="18"/>
                <w:lang w:val="ru-RU" w:eastAsia="en-US" w:bidi="ar-SA"/>
              </w:rPr>
              <w:t xml:space="preserve">Тепловодосети наружные опорной базы УНП </w:t>
            </w:r>
          </w:p>
          <w:p>
            <w:pPr>
              <w:pStyle w:val="Normal"/>
              <w:widowControl w:val="false"/>
              <w:suppressAutoHyphens w:val="true"/>
              <w:spacing w:before="0" w:after="0"/>
              <w:jc w:val="left"/>
              <w:rPr>
                <w:rFonts w:eastAsia="Calibri"/>
                <w:sz w:val="18"/>
                <w:szCs w:val="18"/>
              </w:rPr>
            </w:pPr>
            <w:r>
              <w:rPr>
                <w:rFonts w:eastAsia="Calibri" w:cs="Times New Roman"/>
                <w:kern w:val="0"/>
                <w:sz w:val="18"/>
                <w:szCs w:val="18"/>
                <w:lang w:val="ru-RU" w:eastAsia="en-US" w:bidi="ar-SA"/>
              </w:rPr>
              <w:t>в т.ч.</w:t>
            </w:r>
          </w:p>
          <w:p>
            <w:pPr>
              <w:pStyle w:val="Normal"/>
              <w:widowControl w:val="false"/>
              <w:suppressAutoHyphens w:val="true"/>
              <w:spacing w:before="0" w:after="0"/>
              <w:jc w:val="left"/>
              <w:rPr>
                <w:rFonts w:eastAsia="Calibri"/>
                <w:i/>
                <w:i/>
                <w:sz w:val="18"/>
                <w:szCs w:val="18"/>
                <w:u w:val="single"/>
              </w:rPr>
            </w:pPr>
            <w:r>
              <w:rPr>
                <w:rFonts w:eastAsia="Calibri"/>
                <w:i/>
                <w:sz w:val="18"/>
                <w:szCs w:val="18"/>
                <w:u w:val="single"/>
              </w:rPr>
            </w:r>
          </w:p>
          <w:p>
            <w:pPr>
              <w:pStyle w:val="Normal"/>
              <w:widowControl w:val="false"/>
              <w:suppressAutoHyphens w:val="true"/>
              <w:spacing w:before="0" w:after="0"/>
              <w:jc w:val="left"/>
              <w:rPr>
                <w:rFonts w:eastAsia="Calibri"/>
                <w:i/>
                <w:i/>
                <w:sz w:val="18"/>
                <w:szCs w:val="18"/>
              </w:rPr>
            </w:pPr>
            <w:r>
              <w:rPr>
                <w:rFonts w:eastAsia="Calibri" w:cs="Times New Roman"/>
                <w:i/>
                <w:kern w:val="0"/>
                <w:sz w:val="18"/>
                <w:szCs w:val="18"/>
                <w:u w:val="single"/>
                <w:lang w:val="ru-RU" w:eastAsia="en-US" w:bidi="ar-SA"/>
              </w:rPr>
              <w:t>тепловая сеть</w:t>
            </w:r>
            <w:r>
              <w:rPr>
                <w:rFonts w:eastAsia="Calibri" w:cs="Times New Roman"/>
                <w:i/>
                <w:kern w:val="0"/>
                <w:sz w:val="18"/>
                <w:szCs w:val="18"/>
                <w:lang w:val="ru-RU" w:eastAsia="en-US" w:bidi="ar-SA"/>
              </w:rPr>
              <w:t xml:space="preserve"> </w:t>
            </w:r>
          </w:p>
          <w:p>
            <w:pPr>
              <w:pStyle w:val="Normal"/>
              <w:widowControl w:val="false"/>
              <w:suppressAutoHyphens w:val="true"/>
              <w:spacing w:before="0" w:after="0"/>
              <w:jc w:val="left"/>
              <w:rPr>
                <w:rFonts w:eastAsia="Calibri"/>
                <w:i/>
                <w:i/>
                <w:sz w:val="18"/>
                <w:szCs w:val="18"/>
              </w:rPr>
            </w:pPr>
            <w:r>
              <w:rPr>
                <w:rFonts w:eastAsia="Calibri" w:cs="Times New Roman"/>
                <w:i/>
                <w:kern w:val="0"/>
                <w:sz w:val="18"/>
                <w:szCs w:val="18"/>
                <w:lang w:val="ru-RU" w:eastAsia="en-US" w:bidi="ar-SA"/>
              </w:rPr>
              <w:t>надземная прокладка</w:t>
            </w:r>
          </w:p>
          <w:p>
            <w:pPr>
              <w:pStyle w:val="Normal"/>
              <w:widowControl w:val="false"/>
              <w:suppressAutoHyphens w:val="true"/>
              <w:spacing w:before="0" w:after="0"/>
              <w:jc w:val="left"/>
              <w:rPr>
                <w:rFonts w:eastAsia="Calibri"/>
                <w:i/>
                <w:i/>
                <w:sz w:val="18"/>
                <w:szCs w:val="18"/>
              </w:rPr>
            </w:pPr>
            <w:r>
              <w:rPr>
                <w:rFonts w:eastAsia="Calibri" w:cs="Times New Roman"/>
                <w:i/>
                <w:kern w:val="0"/>
                <w:sz w:val="18"/>
                <w:szCs w:val="18"/>
                <w:lang w:val="ru-RU" w:eastAsia="en-US" w:bidi="ar-SA"/>
              </w:rPr>
              <w:t>подземная прокладка</w:t>
            </w:r>
          </w:p>
          <w:p>
            <w:pPr>
              <w:pStyle w:val="Normal"/>
              <w:widowControl w:val="false"/>
              <w:suppressAutoHyphens w:val="true"/>
              <w:spacing w:before="0" w:after="0"/>
              <w:jc w:val="left"/>
              <w:rPr>
                <w:rFonts w:eastAsia="Calibri"/>
                <w:i/>
                <w:i/>
                <w:sz w:val="18"/>
                <w:szCs w:val="18"/>
                <w:u w:val="single"/>
              </w:rPr>
            </w:pPr>
            <w:r>
              <w:rPr>
                <w:rFonts w:eastAsia="Calibri"/>
                <w:i/>
                <w:sz w:val="18"/>
                <w:szCs w:val="18"/>
                <w:u w:val="single"/>
              </w:rPr>
            </w:r>
          </w:p>
          <w:p>
            <w:pPr>
              <w:pStyle w:val="Normal"/>
              <w:widowControl w:val="false"/>
              <w:suppressAutoHyphens w:val="true"/>
              <w:spacing w:before="0" w:after="0"/>
              <w:jc w:val="left"/>
              <w:rPr>
                <w:rFonts w:eastAsia="Calibri"/>
                <w:i/>
                <w:i/>
                <w:sz w:val="18"/>
                <w:szCs w:val="18"/>
                <w:u w:val="single"/>
              </w:rPr>
            </w:pPr>
            <w:r>
              <w:rPr>
                <w:rFonts w:eastAsia="Calibri" w:cs="Times New Roman"/>
                <w:i/>
                <w:kern w:val="0"/>
                <w:sz w:val="18"/>
                <w:szCs w:val="18"/>
                <w:u w:val="single"/>
                <w:lang w:val="ru-RU" w:eastAsia="en-US" w:bidi="ar-SA"/>
              </w:rPr>
              <w:t>водопровод</w:t>
            </w:r>
          </w:p>
          <w:p>
            <w:pPr>
              <w:pStyle w:val="Normal"/>
              <w:widowControl w:val="false"/>
              <w:suppressAutoHyphens w:val="true"/>
              <w:spacing w:before="0" w:after="0"/>
              <w:jc w:val="left"/>
              <w:rPr>
                <w:rFonts w:eastAsia="Calibri"/>
                <w:i/>
                <w:i/>
                <w:sz w:val="18"/>
                <w:szCs w:val="18"/>
              </w:rPr>
            </w:pPr>
            <w:r>
              <w:rPr>
                <w:rFonts w:eastAsia="Calibri" w:cs="Times New Roman"/>
                <w:i/>
                <w:kern w:val="0"/>
                <w:sz w:val="18"/>
                <w:szCs w:val="18"/>
                <w:lang w:val="ru-RU" w:eastAsia="en-US" w:bidi="ar-SA"/>
              </w:rPr>
              <w:t>надземная прокладка</w:t>
            </w:r>
          </w:p>
          <w:p>
            <w:pPr>
              <w:pStyle w:val="Normal"/>
              <w:widowControl w:val="false"/>
              <w:suppressAutoHyphens w:val="true"/>
              <w:spacing w:before="0" w:after="0"/>
              <w:jc w:val="left"/>
              <w:rPr>
                <w:rFonts w:eastAsia="Calibri"/>
                <w:i/>
                <w:i/>
                <w:sz w:val="18"/>
                <w:szCs w:val="18"/>
              </w:rPr>
            </w:pPr>
            <w:r>
              <w:rPr>
                <w:rFonts w:eastAsia="Calibri" w:cs="Times New Roman"/>
                <w:i/>
                <w:kern w:val="0"/>
                <w:sz w:val="18"/>
                <w:szCs w:val="18"/>
                <w:lang w:val="ru-RU" w:eastAsia="en-US" w:bidi="ar-SA"/>
              </w:rPr>
              <w:t>подземная прокладка</w:t>
            </w:r>
          </w:p>
          <w:p>
            <w:pPr>
              <w:pStyle w:val="Normal"/>
              <w:widowControl w:val="false"/>
              <w:suppressAutoHyphens w:val="true"/>
              <w:spacing w:before="0" w:after="0"/>
              <w:jc w:val="left"/>
              <w:rPr>
                <w:i/>
                <w:i/>
                <w:sz w:val="18"/>
                <w:szCs w:val="18"/>
              </w:rPr>
            </w:pPr>
            <w:r>
              <w:rPr>
                <w:i/>
                <w:sz w:val="18"/>
                <w:szCs w:val="18"/>
              </w:rPr>
            </w:r>
          </w:p>
        </w:tc>
        <w:tc>
          <w:tcPr>
            <w:tcW w:w="1374" w:type="dxa"/>
            <w:tcBorders/>
          </w:tcPr>
          <w:p>
            <w:pPr>
              <w:pStyle w:val="Normal"/>
              <w:widowControl w:val="false"/>
              <w:suppressAutoHyphens w:val="true"/>
              <w:spacing w:before="0" w:after="0"/>
              <w:jc w:val="center"/>
              <w:rPr>
                <w:rFonts w:eastAsia="Calibri"/>
                <w:sz w:val="18"/>
                <w:szCs w:val="18"/>
              </w:rPr>
            </w:pPr>
            <w:r>
              <w:rPr>
                <w:rFonts w:eastAsia="Calibri"/>
                <w:sz w:val="18"/>
                <w:szCs w:val="18"/>
              </w:rPr>
            </w:r>
          </w:p>
          <w:p>
            <w:pPr>
              <w:pStyle w:val="Normal"/>
              <w:widowControl w:val="false"/>
              <w:suppressAutoHyphens w:val="true"/>
              <w:spacing w:before="0" w:after="0"/>
              <w:jc w:val="center"/>
              <w:rPr>
                <w:rFonts w:eastAsia="Calibri"/>
                <w:sz w:val="18"/>
                <w:szCs w:val="18"/>
              </w:rPr>
            </w:pPr>
            <w:r>
              <w:rPr>
                <w:rFonts w:eastAsia="Calibri"/>
                <w:sz w:val="18"/>
                <w:szCs w:val="18"/>
              </w:rPr>
            </w:r>
          </w:p>
          <w:p>
            <w:pPr>
              <w:pStyle w:val="Normal"/>
              <w:widowControl w:val="false"/>
              <w:suppressAutoHyphens w:val="true"/>
              <w:spacing w:before="0" w:after="0"/>
              <w:jc w:val="center"/>
              <w:rPr>
                <w:rFonts w:eastAsia="Calibri"/>
                <w:sz w:val="18"/>
                <w:szCs w:val="18"/>
              </w:rPr>
            </w:pPr>
            <w:r>
              <w:rPr>
                <w:rFonts w:eastAsia="Calibri" w:cs="Times New Roman"/>
                <w:kern w:val="0"/>
                <w:sz w:val="18"/>
                <w:szCs w:val="18"/>
                <w:lang w:val="ru-RU" w:eastAsia="en-US" w:bidi="ar-SA"/>
              </w:rPr>
              <w:t>515</w:t>
            </w:r>
          </w:p>
          <w:p>
            <w:pPr>
              <w:pStyle w:val="Normal"/>
              <w:widowControl w:val="false"/>
              <w:suppressAutoHyphens w:val="true"/>
              <w:spacing w:before="0" w:after="0"/>
              <w:jc w:val="center"/>
              <w:rPr>
                <w:rFonts w:eastAsia="Calibri"/>
                <w:sz w:val="18"/>
                <w:szCs w:val="18"/>
              </w:rPr>
            </w:pPr>
            <w:r>
              <w:rPr>
                <w:rFonts w:eastAsia="Calibri"/>
                <w:sz w:val="18"/>
                <w:szCs w:val="18"/>
              </w:rPr>
            </w:r>
          </w:p>
          <w:p>
            <w:pPr>
              <w:pStyle w:val="Normal"/>
              <w:widowControl w:val="false"/>
              <w:suppressAutoHyphens w:val="true"/>
              <w:spacing w:before="0" w:after="0"/>
              <w:jc w:val="center"/>
              <w:rPr>
                <w:i/>
                <w:i/>
                <w:sz w:val="18"/>
                <w:szCs w:val="18"/>
              </w:rPr>
            </w:pPr>
            <w:r>
              <w:rPr>
                <w:i/>
                <w:sz w:val="18"/>
                <w:szCs w:val="18"/>
              </w:rPr>
            </w:r>
          </w:p>
          <w:p>
            <w:pPr>
              <w:pStyle w:val="Normal"/>
              <w:widowControl w:val="false"/>
              <w:suppressAutoHyphens w:val="true"/>
              <w:spacing w:before="0" w:after="0"/>
              <w:jc w:val="center"/>
              <w:rPr>
                <w:i/>
                <w:i/>
                <w:sz w:val="18"/>
                <w:szCs w:val="18"/>
              </w:rPr>
            </w:pPr>
            <w:r>
              <w:rPr>
                <w:rFonts w:eastAsia="Times New Roman" w:cs="Times New Roman"/>
                <w:i/>
                <w:kern w:val="0"/>
                <w:sz w:val="18"/>
                <w:szCs w:val="18"/>
                <w:lang w:val="ru-RU" w:eastAsia="en-US" w:bidi="ar-SA"/>
              </w:rPr>
              <w:t>468</w:t>
            </w:r>
          </w:p>
          <w:p>
            <w:pPr>
              <w:pStyle w:val="Normal"/>
              <w:widowControl w:val="false"/>
              <w:suppressAutoHyphens w:val="true"/>
              <w:spacing w:before="0" w:after="0"/>
              <w:jc w:val="center"/>
              <w:rPr>
                <w:i/>
                <w:i/>
                <w:sz w:val="18"/>
                <w:szCs w:val="18"/>
              </w:rPr>
            </w:pPr>
            <w:r>
              <w:rPr>
                <w:rFonts w:eastAsia="Times New Roman" w:cs="Times New Roman"/>
                <w:i/>
                <w:kern w:val="0"/>
                <w:sz w:val="18"/>
                <w:szCs w:val="18"/>
                <w:lang w:val="ru-RU" w:eastAsia="en-US" w:bidi="ar-SA"/>
              </w:rPr>
              <w:t>47</w:t>
            </w:r>
          </w:p>
          <w:p>
            <w:pPr>
              <w:pStyle w:val="Normal"/>
              <w:widowControl w:val="false"/>
              <w:suppressAutoHyphens w:val="true"/>
              <w:spacing w:before="0" w:after="0"/>
              <w:jc w:val="center"/>
              <w:rPr>
                <w:i/>
                <w:i/>
                <w:sz w:val="18"/>
                <w:szCs w:val="18"/>
              </w:rPr>
            </w:pPr>
            <w:r>
              <w:rPr>
                <w:i/>
                <w:sz w:val="18"/>
                <w:szCs w:val="18"/>
              </w:rPr>
            </w:r>
          </w:p>
          <w:p>
            <w:pPr>
              <w:pStyle w:val="Normal"/>
              <w:widowControl w:val="false"/>
              <w:suppressAutoHyphens w:val="true"/>
              <w:spacing w:before="0" w:after="0"/>
              <w:jc w:val="center"/>
              <w:rPr>
                <w:i/>
                <w:i/>
                <w:sz w:val="18"/>
                <w:szCs w:val="18"/>
              </w:rPr>
            </w:pPr>
            <w:r>
              <w:rPr>
                <w:i/>
                <w:sz w:val="18"/>
                <w:szCs w:val="18"/>
              </w:rPr>
            </w:r>
          </w:p>
          <w:p>
            <w:pPr>
              <w:pStyle w:val="Normal"/>
              <w:widowControl w:val="false"/>
              <w:suppressAutoHyphens w:val="true"/>
              <w:spacing w:before="0" w:after="0"/>
              <w:jc w:val="center"/>
              <w:rPr>
                <w:i/>
                <w:i/>
                <w:sz w:val="18"/>
                <w:szCs w:val="18"/>
              </w:rPr>
            </w:pPr>
            <w:r>
              <w:rPr>
                <w:rFonts w:eastAsia="Times New Roman" w:cs="Times New Roman"/>
                <w:i/>
                <w:kern w:val="0"/>
                <w:sz w:val="18"/>
                <w:szCs w:val="18"/>
                <w:lang w:val="ru-RU" w:eastAsia="en-US" w:bidi="ar-SA"/>
              </w:rPr>
              <w:t>57</w:t>
            </w:r>
          </w:p>
          <w:p>
            <w:pPr>
              <w:pStyle w:val="Normal"/>
              <w:widowControl w:val="false"/>
              <w:suppressAutoHyphens w:val="true"/>
              <w:spacing w:before="0" w:after="0"/>
              <w:jc w:val="center"/>
              <w:rPr>
                <w:i/>
                <w:i/>
                <w:sz w:val="18"/>
                <w:szCs w:val="18"/>
              </w:rPr>
            </w:pPr>
            <w:r>
              <w:rPr>
                <w:rFonts w:eastAsia="Times New Roman" w:cs="Times New Roman"/>
                <w:i/>
                <w:kern w:val="0"/>
                <w:sz w:val="18"/>
                <w:szCs w:val="18"/>
                <w:lang w:val="ru-RU" w:eastAsia="en-US" w:bidi="ar-SA"/>
              </w:rPr>
              <w:t>33</w:t>
            </w:r>
          </w:p>
          <w:p>
            <w:pPr>
              <w:pStyle w:val="Normal"/>
              <w:widowControl w:val="false"/>
              <w:suppressAutoHyphens w:val="true"/>
              <w:spacing w:before="0" w:after="0"/>
              <w:jc w:val="center"/>
              <w:rPr>
                <w:sz w:val="18"/>
                <w:szCs w:val="18"/>
              </w:rPr>
            </w:pPr>
            <w:r>
              <w:rPr>
                <w:rFonts w:eastAsia="Times New Roman" w:cs="Times New Roman"/>
                <w:i/>
                <w:kern w:val="0"/>
                <w:sz w:val="18"/>
                <w:szCs w:val="18"/>
                <w:lang w:val="ru-RU" w:eastAsia="en-US" w:bidi="ar-SA"/>
              </w:rPr>
              <w:t>24</w:t>
            </w:r>
          </w:p>
        </w:tc>
        <w:tc>
          <w:tcPr>
            <w:tcW w:w="1315" w:type="dxa"/>
            <w:tcBorders/>
          </w:tcPr>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highlight w:val="yellow"/>
              </w:rPr>
            </w:pPr>
            <w:r>
              <w:rPr>
                <w:rFonts w:eastAsia="Times New Roman" w:cs="Times New Roman"/>
                <w:kern w:val="0"/>
                <w:sz w:val="18"/>
                <w:szCs w:val="18"/>
                <w:lang w:val="ru-RU" w:eastAsia="en-US" w:bidi="ar-SA"/>
              </w:rPr>
              <w:t>28:03:020003:521</w:t>
            </w:r>
          </w:p>
        </w:tc>
        <w:tc>
          <w:tcPr>
            <w:tcW w:w="2497" w:type="dxa"/>
            <w:tcBorders/>
          </w:tcPr>
          <w:p>
            <w:pPr>
              <w:pStyle w:val="Normal"/>
              <w:widowControl w:val="false"/>
              <w:tabs>
                <w:tab w:val="clear" w:pos="567"/>
                <w:tab w:val="left" w:pos="1335" w:leader="none"/>
              </w:tabs>
              <w:suppressAutoHyphens w:val="true"/>
              <w:spacing w:before="120" w:after="0"/>
              <w:jc w:val="center"/>
              <w:rPr>
                <w:rFonts w:eastAsia="Calibri"/>
                <w:sz w:val="18"/>
                <w:szCs w:val="18"/>
              </w:rPr>
            </w:pPr>
            <w:r>
              <w:rPr>
                <w:rFonts w:eastAsia="Times New Roman" w:cs="Times New Roman"/>
                <w:kern w:val="0"/>
                <w:sz w:val="18"/>
                <w:szCs w:val="18"/>
                <w:lang w:val="ru-RU" w:eastAsia="en-US" w:bidi="ar-SA"/>
              </w:rPr>
              <w:t xml:space="preserve">Год ввода в эксплуатацию -1998                             </w:t>
            </w:r>
            <w:r>
              <w:rPr>
                <w:rFonts w:eastAsia="Calibri" w:cs="Times New Roman"/>
                <w:kern w:val="0"/>
                <w:sz w:val="18"/>
                <w:szCs w:val="18"/>
                <w:lang w:val="ru-RU" w:eastAsia="en-US" w:bidi="ar-SA"/>
              </w:rPr>
              <w:t>диаметр трубопроводов теплосети                 надземная 159-298 мм       108-170 мм</w:t>
            </w:r>
          </w:p>
          <w:p>
            <w:pPr>
              <w:pStyle w:val="Normal"/>
              <w:widowControl w:val="false"/>
              <w:tabs>
                <w:tab w:val="clear" w:pos="567"/>
                <w:tab w:val="left" w:pos="1335" w:leader="none"/>
              </w:tabs>
              <w:suppressAutoHyphens w:val="true"/>
              <w:jc w:val="center"/>
              <w:rPr>
                <w:rFonts w:eastAsia="Calibri"/>
                <w:sz w:val="18"/>
                <w:szCs w:val="18"/>
              </w:rPr>
            </w:pPr>
            <w:r>
              <w:rPr>
                <w:rFonts w:eastAsia="Calibri" w:cs="Times New Roman"/>
                <w:kern w:val="0"/>
                <w:sz w:val="18"/>
                <w:szCs w:val="18"/>
                <w:lang w:val="ru-RU" w:eastAsia="en-US" w:bidi="ar-SA"/>
              </w:rPr>
              <w:t>подземная  - 89 мм</w:t>
            </w:r>
          </w:p>
          <w:p>
            <w:pPr>
              <w:pStyle w:val="Normal"/>
              <w:widowControl w:val="false"/>
              <w:tabs>
                <w:tab w:val="clear" w:pos="567"/>
                <w:tab w:val="left" w:pos="1335" w:leader="none"/>
              </w:tabs>
              <w:suppressAutoHyphens w:val="true"/>
              <w:jc w:val="center"/>
              <w:rPr>
                <w:rFonts w:eastAsia="Calibri"/>
                <w:sz w:val="18"/>
                <w:szCs w:val="18"/>
              </w:rPr>
            </w:pPr>
            <w:r>
              <w:rPr>
                <w:rFonts w:eastAsia="Calibri" w:cs="Times New Roman"/>
                <w:kern w:val="0"/>
                <w:sz w:val="18"/>
                <w:szCs w:val="18"/>
                <w:lang w:val="ru-RU" w:eastAsia="en-US" w:bidi="ar-SA"/>
              </w:rPr>
              <w:t>водопровод  - 25 мм</w:t>
            </w:r>
          </w:p>
          <w:p>
            <w:pPr>
              <w:pStyle w:val="Normal"/>
              <w:widowControl w:val="false"/>
              <w:tabs>
                <w:tab w:val="clear" w:pos="567"/>
                <w:tab w:val="left" w:pos="1335" w:leader="none"/>
              </w:tabs>
              <w:suppressAutoHyphens w:val="true"/>
              <w:jc w:val="center"/>
              <w:rPr>
                <w:rFonts w:eastAsia="Calibri"/>
                <w:sz w:val="18"/>
                <w:szCs w:val="18"/>
              </w:rPr>
            </w:pPr>
            <w:r>
              <w:rPr>
                <w:rFonts w:eastAsia="Calibri" w:cs="Times New Roman"/>
                <w:kern w:val="0"/>
                <w:sz w:val="18"/>
                <w:szCs w:val="18"/>
                <w:lang w:val="ru-RU" w:eastAsia="en-US" w:bidi="ar-SA"/>
              </w:rPr>
              <w:t>материал труб - сталь материал изоляции минвата</w:t>
            </w:r>
          </w:p>
          <w:p>
            <w:pPr>
              <w:pStyle w:val="Normal"/>
              <w:widowControl w:val="false"/>
              <w:tabs>
                <w:tab w:val="clear" w:pos="567"/>
                <w:tab w:val="left" w:pos="1335" w:leader="none"/>
              </w:tabs>
              <w:suppressAutoHyphens w:val="true"/>
              <w:jc w:val="center"/>
              <w:rPr>
                <w:sz w:val="18"/>
                <w:szCs w:val="18"/>
                <w:highlight w:val="yellow"/>
              </w:rPr>
            </w:pPr>
            <w:r>
              <w:rPr>
                <w:sz w:val="18"/>
                <w:szCs w:val="18"/>
                <w:highlight w:val="yellow"/>
              </w:rPr>
            </w:r>
          </w:p>
        </w:tc>
        <w:tc>
          <w:tcPr>
            <w:tcW w:w="1645" w:type="dxa"/>
            <w:tcBorders/>
          </w:tcPr>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rPr>
            </w:pPr>
            <w:r>
              <w:rPr>
                <w:sz w:val="18"/>
                <w:szCs w:val="18"/>
              </w:rPr>
            </w:r>
          </w:p>
          <w:p>
            <w:pPr>
              <w:pStyle w:val="Normal"/>
              <w:widowControl w:val="false"/>
              <w:suppressAutoHyphens w:val="true"/>
              <w:spacing w:before="0" w:after="0"/>
              <w:jc w:val="center"/>
              <w:rPr>
                <w:sz w:val="18"/>
                <w:szCs w:val="18"/>
                <w:highlight w:val="yellow"/>
              </w:rPr>
            </w:pPr>
            <w:r>
              <w:rPr>
                <w:rFonts w:eastAsia="Times New Roman" w:cs="Times New Roman"/>
                <w:kern w:val="0"/>
                <w:sz w:val="18"/>
                <w:szCs w:val="18"/>
                <w:lang w:val="ru-RU" w:eastAsia="en-US" w:bidi="ar-SA"/>
              </w:rPr>
              <w:t>28:03:020003:521-28/055/2021-1 от 25.12.2021</w:t>
            </w:r>
          </w:p>
        </w:tc>
      </w:tr>
    </w:tbl>
    <w:p>
      <w:pPr>
        <w:pStyle w:val="Normal"/>
        <w:jc w:val="left"/>
        <w:rPr>
          <w:u w:val="single"/>
        </w:rPr>
      </w:pPr>
      <w:r>
        <w:rPr>
          <w:u w:val="single"/>
        </w:rPr>
        <w:t>Фото объекта:</w:t>
      </w:r>
    </w:p>
    <w:tbl>
      <w:tblPr>
        <w:tblStyle w:val="afff8"/>
        <w:tblW w:w="9493"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493"/>
      </w:tblGrid>
      <w:tr>
        <w:trPr/>
        <w:tc>
          <w:tcPr>
            <w:tcW w:w="9493" w:type="dxa"/>
            <w:tcBorders/>
          </w:tcPr>
          <w:p>
            <w:pPr>
              <w:pStyle w:val="Normal"/>
              <w:widowControl w:val="false"/>
              <w:suppressAutoHyphens w:val="true"/>
              <w:spacing w:before="120" w:after="0"/>
              <w:jc w:val="center"/>
              <w:rPr>
                <w:u w:val="single"/>
              </w:rPr>
            </w:pPr>
            <w:r>
              <w:rPr/>
              <w:drawing>
                <wp:inline distT="0" distB="0" distL="0" distR="0">
                  <wp:extent cx="2924810" cy="2193925"/>
                  <wp:effectExtent l="0" t="0" r="0" b="0"/>
                  <wp:docPr id="4" name="Рисунок 16" descr="C:\Users\SolomkoNV\Desktop\Объекты оценки\Фото теплосети\Теплосети опорной  базы УНП\20231023_16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6" descr="C:\Users\SolomkoNV\Desktop\Объекты оценки\Фото теплосети\Теплосети опорной  базы УНП\20231023_165552.jpg"/>
                          <pic:cNvPicPr>
                            <a:picLocks noChangeAspect="1" noChangeArrowheads="1"/>
                          </pic:cNvPicPr>
                        </pic:nvPicPr>
                        <pic:blipFill>
                          <a:blip r:embed="rId13"/>
                          <a:stretch>
                            <a:fillRect/>
                          </a:stretch>
                        </pic:blipFill>
                        <pic:spPr bwMode="auto">
                          <a:xfrm>
                            <a:off x="0" y="0"/>
                            <a:ext cx="2924810" cy="2193925"/>
                          </a:xfrm>
                          <a:prstGeom prst="rect">
                            <a:avLst/>
                          </a:prstGeom>
                        </pic:spPr>
                      </pic:pic>
                    </a:graphicData>
                  </a:graphic>
                </wp:inline>
              </w:drawing>
            </w:r>
          </w:p>
        </w:tc>
      </w:tr>
    </w:tbl>
    <w:p>
      <w:pPr>
        <w:pStyle w:val="Normal"/>
        <w:jc w:val="right"/>
        <w:rPr>
          <w:sz w:val="28"/>
          <w:szCs w:val="28"/>
        </w:rPr>
      </w:pPr>
      <w:r>
        <w:rPr>
          <w:b/>
          <w:sz w:val="24"/>
          <w:szCs w:val="24"/>
        </w:rPr>
        <w:t>Приложение № 2</w:t>
      </w:r>
    </w:p>
    <w:p>
      <w:pPr>
        <w:pStyle w:val="Style23"/>
        <w:numPr>
          <w:ilvl w:val="0"/>
          <w:numId w:val="0"/>
        </w:numPr>
        <w:ind w:left="0" w:hanging="0"/>
        <w:jc w:val="center"/>
        <w:rPr>
          <w:b/>
        </w:rPr>
      </w:pPr>
      <w:r>
        <w:rPr>
          <w:b/>
          <w:sz w:val="28"/>
          <w:szCs w:val="28"/>
        </w:rPr>
        <w:t>ПРОЕКТ ДОГОВОРА КУПЛИ-ПРОДАЖИ</w:t>
      </w:r>
    </w:p>
    <w:p>
      <w:pPr>
        <w:pStyle w:val="Style23"/>
        <w:numPr>
          <w:ilvl w:val="0"/>
          <w:numId w:val="0"/>
        </w:numPr>
        <w:ind w:left="0" w:hanging="0"/>
        <w:rPr>
          <w:b/>
        </w:rPr>
      </w:pPr>
      <w:r>
        <w:rPr>
          <w:b/>
        </w:rPr>
      </w:r>
    </w:p>
    <w:p>
      <w:pPr>
        <w:pStyle w:val="Style23"/>
        <w:numPr>
          <w:ilvl w:val="0"/>
          <w:numId w:val="0"/>
        </w:numPr>
        <w:ind w:left="0" w:hanging="0"/>
        <w:rPr>
          <w:b/>
        </w:rPr>
      </w:pPr>
      <w:bookmarkStart w:id="485" w:name="_Toc514805482"/>
      <w:bookmarkStart w:id="486" w:name="_Toc514814127"/>
      <w:bookmarkStart w:id="487" w:name="_Toc515659386"/>
      <w:bookmarkStart w:id="488" w:name="_Toc515887606"/>
      <w:r>
        <w:rPr/>
        <w:t>Пояснения к проекту договора</w:t>
      </w:r>
      <w:bookmarkEnd w:id="485"/>
      <w:bookmarkEnd w:id="486"/>
      <w:bookmarkEnd w:id="487"/>
      <w:bookmarkEnd w:id="488"/>
      <w:r>
        <w:rPr/>
        <w:t xml:space="preserve"> купли-продажи:</w:t>
      </w:r>
    </w:p>
    <w:p>
      <w:pPr>
        <w:pStyle w:val="Style23"/>
        <w:numPr>
          <w:ilvl w:val="0"/>
          <w:numId w:val="0"/>
        </w:numPr>
        <w:ind w:left="0" w:hanging="0"/>
        <w:rPr>
          <w:b/>
        </w:rPr>
      </w:pPr>
      <w:r>
        <w:rPr/>
        <w:t>-</w:t>
        <w:tab/>
        <w:t>все положения настоящего проекта договора являются существенными условиями для Продавца;</w:t>
      </w:r>
    </w:p>
    <w:p>
      <w:pPr>
        <w:pStyle w:val="Style23"/>
        <w:numPr>
          <w:ilvl w:val="0"/>
          <w:numId w:val="0"/>
        </w:numPr>
        <w:ind w:left="0" w:hanging="0"/>
        <w:rPr>
          <w:b/>
        </w:rPr>
      </w:pPr>
      <w:r>
        <w:rPr/>
        <w:t>-</w:t>
        <w:tab/>
        <w:t>любые предоставляемые Участником аукциона разногласия по условиям настоящего проекта договора носят статус «желательных», и в случае если Продавец не примет указанные разногласия, Участник аукциона будет обязан заключить договор на условиях исходного проекта договора;</w:t>
      </w:r>
    </w:p>
    <w:p>
      <w:pPr>
        <w:pStyle w:val="Style23"/>
        <w:numPr>
          <w:ilvl w:val="0"/>
          <w:numId w:val="0"/>
        </w:numPr>
        <w:ind w:left="0" w:hanging="0"/>
        <w:rPr>
          <w:b/>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 о продаже.</w:t>
      </w:r>
    </w:p>
    <w:p>
      <w:pPr>
        <w:pStyle w:val="Style23"/>
        <w:numPr>
          <w:ilvl w:val="0"/>
          <w:numId w:val="0"/>
        </w:numPr>
        <w:ind w:left="0" w:hanging="0"/>
        <w:rPr>
          <w:i/>
          <w:i/>
          <w:shd w:fill="FFFF99" w:val="clear"/>
        </w:rPr>
      </w:pPr>
      <w:r>
        <w:rPr>
          <w:i/>
          <w:shd w:fill="FFFF99" w:val="clear"/>
        </w:rPr>
      </w:r>
    </w:p>
    <w:p>
      <w:pPr>
        <w:pStyle w:val="Normal"/>
        <w:spacing w:before="0" w:after="0"/>
        <w:jc w:val="center"/>
        <w:rPr>
          <w:b/>
          <w:sz w:val="24"/>
          <w:szCs w:val="24"/>
        </w:rPr>
      </w:pPr>
      <w:r>
        <w:rPr>
          <w:b/>
          <w:sz w:val="24"/>
          <w:szCs w:val="24"/>
        </w:rPr>
        <w:t xml:space="preserve">ДОГОВОР </w:t>
      </w:r>
      <w:r>
        <w:rPr>
          <w:b/>
          <w:sz w:val="24"/>
          <w:szCs w:val="24"/>
          <w:u w:val="single"/>
        </w:rPr>
        <w:t>№ _______________________</w:t>
      </w:r>
    </w:p>
    <w:p>
      <w:pPr>
        <w:pStyle w:val="Normal"/>
        <w:spacing w:before="0" w:after="0"/>
        <w:jc w:val="center"/>
        <w:rPr>
          <w:sz w:val="24"/>
          <w:szCs w:val="24"/>
        </w:rPr>
      </w:pPr>
      <w:r>
        <w:rPr>
          <w:sz w:val="24"/>
          <w:szCs w:val="24"/>
        </w:rPr>
        <w:t>купли-продажи</w:t>
      </w:r>
    </w:p>
    <w:p>
      <w:pPr>
        <w:pStyle w:val="Normal"/>
        <w:spacing w:before="0" w:after="0"/>
        <w:rPr>
          <w:sz w:val="23"/>
          <w:szCs w:val="23"/>
        </w:rPr>
      </w:pPr>
      <w:r>
        <w:rPr>
          <w:sz w:val="23"/>
          <w:szCs w:val="23"/>
        </w:rPr>
      </w:r>
    </w:p>
    <w:p>
      <w:pPr>
        <w:pStyle w:val="Normal"/>
        <w:tabs>
          <w:tab w:val="clear" w:pos="567"/>
          <w:tab w:val="right" w:pos="10205" w:leader="none"/>
        </w:tabs>
        <w:spacing w:before="0" w:after="0"/>
        <w:jc w:val="left"/>
        <w:rPr>
          <w:sz w:val="23"/>
          <w:szCs w:val="23"/>
        </w:rPr>
      </w:pPr>
      <w:r>
        <w:rPr>
          <w:sz w:val="24"/>
          <w:szCs w:val="24"/>
        </w:rPr>
        <w:t>г. Зея</w:t>
      </w:r>
      <w:r>
        <w:rPr>
          <w:sz w:val="23"/>
          <w:szCs w:val="23"/>
        </w:rPr>
        <w:tab/>
        <w:t>_______________202__г.</w:t>
      </w:r>
    </w:p>
    <w:p>
      <w:pPr>
        <w:pStyle w:val="Normal"/>
        <w:spacing w:before="0" w:after="0"/>
        <w:jc w:val="right"/>
        <w:rPr>
          <w:sz w:val="23"/>
          <w:szCs w:val="23"/>
        </w:rPr>
      </w:pPr>
      <w:r>
        <w:rPr>
          <w:sz w:val="23"/>
          <w:szCs w:val="23"/>
        </w:rPr>
      </w:r>
    </w:p>
    <w:p>
      <w:pPr>
        <w:pStyle w:val="Normal"/>
        <w:tabs>
          <w:tab w:val="clear" w:pos="567"/>
          <w:tab w:val="left" w:pos="0" w:leader="none"/>
        </w:tabs>
        <w:spacing w:before="0" w:after="0"/>
        <w:ind w:firstLine="567"/>
        <w:rPr>
          <w:sz w:val="24"/>
          <w:szCs w:val="24"/>
        </w:rPr>
      </w:pPr>
      <w:r>
        <w:rPr>
          <w:color w:val="000000"/>
          <w:sz w:val="24"/>
          <w:szCs w:val="24"/>
        </w:rPr>
        <w:t>Публичное акционерное общество «Федеральная гидрогенерирующая компания – РусГидро»</w:t>
      </w:r>
      <w:r>
        <w:rPr>
          <w:sz w:val="24"/>
          <w:szCs w:val="24"/>
        </w:rPr>
        <w:t xml:space="preserve"> (ПАО «РусГидро»), в лице директора Филиала ПАО «РусГидро»- «Зейская ГЭС» Сухомесова Михаила Андреевича, действующего на основании доверенности от ______ № _____ и Положения о филиале, именуемое в дальнейшем «Продавец» с одной стороны и</w:t>
      </w:r>
    </w:p>
    <w:p>
      <w:pPr>
        <w:pStyle w:val="Normal"/>
        <w:tabs>
          <w:tab w:val="clear" w:pos="567"/>
          <w:tab w:val="left" w:pos="0" w:leader="none"/>
        </w:tabs>
        <w:spacing w:before="0" w:after="0"/>
        <w:ind w:firstLine="567"/>
        <w:rPr>
          <w:sz w:val="24"/>
          <w:szCs w:val="24"/>
        </w:rPr>
      </w:pPr>
      <w:r>
        <w:rPr>
          <w:b/>
          <w:sz w:val="24"/>
          <w:szCs w:val="24"/>
        </w:rPr>
        <w:t>__________________________________________________________________________,</w:t>
      </w:r>
      <w:r>
        <w:rPr>
          <w:sz w:val="24"/>
          <w:szCs w:val="24"/>
        </w:rPr>
        <w:t xml:space="preserve"> в лице ____________________________________________________________, действующего на основании __________________________________________________________, с другой стороны, именуемый в дальнейшем «Покупатель», с другой стороны, а вместе именуемые «Стороны», заключили настоящий договор о нижеследующем:</w:t>
      </w:r>
    </w:p>
    <w:p>
      <w:pPr>
        <w:pStyle w:val="ListParagraph"/>
        <w:numPr>
          <w:ilvl w:val="0"/>
          <w:numId w:val="12"/>
        </w:numPr>
        <w:spacing w:before="240" w:after="120"/>
        <w:ind w:left="0" w:hanging="0"/>
        <w:contextualSpacing w:val="false"/>
        <w:jc w:val="center"/>
        <w:rPr>
          <w:b/>
          <w:szCs w:val="24"/>
        </w:rPr>
      </w:pPr>
      <w:r>
        <w:rPr>
          <w:rFonts w:ascii="Times New Roman" w:hAnsi="Times New Roman"/>
          <w:b/>
          <w:szCs w:val="24"/>
        </w:rPr>
        <w:t>ПРЕДМЕТ ДОГОВОРА</w:t>
      </w:r>
    </w:p>
    <w:p>
      <w:pPr>
        <w:pStyle w:val="ListParagraph"/>
        <w:numPr>
          <w:ilvl w:val="1"/>
          <w:numId w:val="12"/>
        </w:numPr>
        <w:spacing w:before="0" w:after="0"/>
        <w:ind w:left="0" w:firstLine="567"/>
        <w:contextualSpacing w:val="false"/>
        <w:jc w:val="both"/>
        <w:rPr>
          <w:rFonts w:ascii="Times New Roman" w:hAnsi="Times New Roman"/>
          <w:szCs w:val="24"/>
        </w:rPr>
      </w:pPr>
      <w:r>
        <w:rPr>
          <w:rFonts w:ascii="Times New Roman" w:hAnsi="Times New Roman"/>
          <w:szCs w:val="24"/>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имущество, указанное в Приложении №1 являющегося неотъемлемой частью настоящего договора (далее Имущество).</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Продажа имущества осуществляется Продавцом на основании Протокола итогов аукциона по продаже имущественного актива ПАО «РусГидро» от «____»____________202_ г.</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Переход права собственности на Имущество от Продавца к Покупателю подлежит обязательной государственной регистрации в Управление Федеральной службы государственной регистрации, кадастра и картографии по Пермскому краю.</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Регистрация перехода права собственности на Имущество осуществляется силами и за счет Покупателя.</w:t>
      </w:r>
    </w:p>
    <w:p>
      <w:pPr>
        <w:pStyle w:val="ListParagraph"/>
        <w:numPr>
          <w:ilvl w:val="0"/>
          <w:numId w:val="12"/>
        </w:numPr>
        <w:spacing w:before="240" w:after="120"/>
        <w:ind w:left="0" w:hanging="0"/>
        <w:contextualSpacing w:val="false"/>
        <w:jc w:val="center"/>
        <w:rPr>
          <w:b/>
          <w:szCs w:val="24"/>
        </w:rPr>
      </w:pPr>
      <w:r>
        <w:rPr>
          <w:rFonts w:ascii="Times New Roman" w:hAnsi="Times New Roman"/>
          <w:b/>
          <w:szCs w:val="24"/>
        </w:rPr>
        <w:t>СТОИМОСТЬ И ПОРЯДОК ОПЛАТЫ</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 xml:space="preserve">В соответствии с Протоколом итогов аукциона по продаже имущественного актива ПАО «РусГидро» от «____»__________202__ г. общая стоимость Имущества по Договору составляет______________________________ (_________________________________________) руб. __ коп. </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Покупатель производит оплату в размере стоимости Имущества, что составляет   ______________________________________ (___________________________________________) руб. __ коп. Указанную сумму Покупатель обязуется перечислить на расчетный счет, указанный в разделе 9 Договора не позднее 10 (десяти)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Платеж считается произведенным с даты поступления денежных средств на расчетный счет Продавца.</w:t>
      </w:r>
    </w:p>
    <w:p>
      <w:pPr>
        <w:pStyle w:val="ListParagraph"/>
        <w:numPr>
          <w:ilvl w:val="0"/>
          <w:numId w:val="12"/>
        </w:numPr>
        <w:spacing w:before="240" w:after="120"/>
        <w:ind w:left="0" w:hanging="0"/>
        <w:contextualSpacing w:val="false"/>
        <w:jc w:val="center"/>
        <w:rPr>
          <w:b/>
          <w:szCs w:val="24"/>
        </w:rPr>
      </w:pPr>
      <w:r>
        <w:rPr>
          <w:rFonts w:ascii="Times New Roman" w:hAnsi="Times New Roman"/>
          <w:b/>
          <w:szCs w:val="24"/>
        </w:rPr>
        <w:t>ПЕРЕДАЧА ОБЪЕКТА</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Передача Имущества оформляется актом приема-передачи, который становится неотъемлемой частью договора после его подписания Сторонами.</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С даты подписания акта приема-передачи ответственность за сохранность Имущества, а также риск его случайной гибели или порчи несет Покупатель.</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Обязательства Покупателя по договору считаются исполненными с момента уплаты Продавцу стоимости Имущества и его приема по акту приема-передачи.</w:t>
      </w:r>
    </w:p>
    <w:p>
      <w:pPr>
        <w:pStyle w:val="ListParagraph"/>
        <w:numPr>
          <w:ilvl w:val="0"/>
          <w:numId w:val="12"/>
        </w:numPr>
        <w:spacing w:before="240" w:after="120"/>
        <w:ind w:left="0" w:hanging="0"/>
        <w:contextualSpacing w:val="false"/>
        <w:jc w:val="center"/>
        <w:rPr>
          <w:b/>
          <w:szCs w:val="24"/>
        </w:rPr>
      </w:pPr>
      <w:r>
        <w:rPr>
          <w:rFonts w:ascii="Times New Roman" w:hAnsi="Times New Roman"/>
          <w:b/>
          <w:szCs w:val="24"/>
        </w:rPr>
        <w:t>ПРАВА И ОБЯЗАННОСТИ СТОРОН</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Продавец обязан:</w:t>
      </w:r>
    </w:p>
    <w:p>
      <w:pPr>
        <w:pStyle w:val="ListParagraph"/>
        <w:numPr>
          <w:ilvl w:val="2"/>
          <w:numId w:val="12"/>
        </w:numPr>
        <w:spacing w:before="0" w:after="0"/>
        <w:ind w:left="0" w:firstLine="567"/>
        <w:contextualSpacing w:val="false"/>
        <w:jc w:val="both"/>
        <w:rPr>
          <w:szCs w:val="24"/>
        </w:rPr>
      </w:pPr>
      <w:r>
        <w:rPr>
          <w:rFonts w:ascii="Times New Roman" w:hAnsi="Times New Roman"/>
          <w:szCs w:val="24"/>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pPr>
        <w:pStyle w:val="ListParagraph"/>
        <w:numPr>
          <w:ilvl w:val="2"/>
          <w:numId w:val="12"/>
        </w:numPr>
        <w:spacing w:before="0" w:after="0"/>
        <w:ind w:left="0" w:firstLine="567"/>
        <w:contextualSpacing w:val="false"/>
        <w:jc w:val="both"/>
        <w:rPr>
          <w:szCs w:val="24"/>
        </w:rPr>
      </w:pPr>
      <w:r>
        <w:rPr>
          <w:rFonts w:ascii="Times New Roman" w:hAnsi="Times New Roman"/>
          <w:szCs w:val="24"/>
        </w:rPr>
        <w:t>Передать Покупателю в собственность Имущество по акту приема-передачи.</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Покупатель обязан:</w:t>
      </w:r>
    </w:p>
    <w:p>
      <w:pPr>
        <w:pStyle w:val="ListParagraph"/>
        <w:numPr>
          <w:ilvl w:val="2"/>
          <w:numId w:val="12"/>
        </w:numPr>
        <w:spacing w:before="0" w:after="0"/>
        <w:ind w:left="0" w:firstLine="567"/>
        <w:contextualSpacing w:val="false"/>
        <w:jc w:val="both"/>
        <w:rPr>
          <w:szCs w:val="24"/>
        </w:rPr>
      </w:pPr>
      <w:r>
        <w:rPr>
          <w:rFonts w:ascii="Times New Roman" w:hAnsi="Times New Roman"/>
          <w:szCs w:val="24"/>
        </w:rPr>
        <w:t>платить стоимость приобретаемого Имущества в полном объеме и в установленный срок.</w:t>
      </w:r>
    </w:p>
    <w:p>
      <w:pPr>
        <w:pStyle w:val="ListParagraph"/>
        <w:numPr>
          <w:ilvl w:val="2"/>
          <w:numId w:val="12"/>
        </w:numPr>
        <w:spacing w:before="0" w:after="0"/>
        <w:ind w:left="0" w:firstLine="567"/>
        <w:contextualSpacing w:val="false"/>
        <w:jc w:val="both"/>
        <w:rPr>
          <w:szCs w:val="24"/>
        </w:rPr>
      </w:pPr>
      <w:r>
        <w:rPr>
          <w:rFonts w:ascii="Times New Roman" w:hAnsi="Times New Roman"/>
          <w:szCs w:val="24"/>
        </w:rPr>
        <w:t>Принять Имущество на условиях, предусмотренных договором.</w:t>
      </w:r>
    </w:p>
    <w:p>
      <w:pPr>
        <w:pStyle w:val="ListParagraph"/>
        <w:numPr>
          <w:ilvl w:val="2"/>
          <w:numId w:val="12"/>
        </w:numPr>
        <w:spacing w:before="0" w:after="0"/>
        <w:ind w:left="0" w:firstLine="567"/>
        <w:contextualSpacing w:val="false"/>
        <w:jc w:val="both"/>
        <w:rPr>
          <w:szCs w:val="24"/>
        </w:rPr>
      </w:pPr>
      <w:r>
        <w:rPr>
          <w:rFonts w:ascii="Times New Roman" w:hAnsi="Times New Roman"/>
          <w:szCs w:val="24"/>
        </w:rPr>
        <w:t>Для регистрации перехода права собственности на Имущество произвести необходимые действия.</w:t>
      </w:r>
    </w:p>
    <w:p>
      <w:pPr>
        <w:pStyle w:val="ListParagraph"/>
        <w:numPr>
          <w:ilvl w:val="0"/>
          <w:numId w:val="12"/>
        </w:numPr>
        <w:spacing w:before="240" w:after="120"/>
        <w:ind w:left="0" w:hanging="0"/>
        <w:contextualSpacing w:val="false"/>
        <w:jc w:val="center"/>
        <w:rPr>
          <w:b/>
          <w:szCs w:val="24"/>
        </w:rPr>
      </w:pPr>
      <w:r>
        <w:rPr>
          <w:rFonts w:ascii="Times New Roman" w:hAnsi="Times New Roman"/>
          <w:b/>
          <w:szCs w:val="24"/>
        </w:rPr>
        <w:t>ОТВЕТСТВЕННОСТЬ СТОРОН</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За просрочку платежей и сроков, предусмотренных разделом 2 договора, Покупатель уплачивает Продавцу пеню в размере 0,1% от суммы долга за каждый день просрочки платежа.</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В случае одностороннего отказа Покупателя от совершения сделки на любом этапе ее осуществления при отсутствии виновных действий со стороны Продавца сумма платежа, указанного в п. 2.1 договора, Покупателю не возвращается.</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Все споры, не урегулированные в претензионном (досудебном) порядке, подлежат передаче на рассмотрение  в суд по месту нахождения  Имущества.</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 xml:space="preserve">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 </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Если период действия непреодолимой силы превысит 6 (шесть) месяцев, любая из сторон будет иметь право расторгнуть Договор.</w:t>
      </w:r>
    </w:p>
    <w:p>
      <w:pPr>
        <w:pStyle w:val="ListParagraph"/>
        <w:numPr>
          <w:ilvl w:val="0"/>
          <w:numId w:val="12"/>
        </w:numPr>
        <w:spacing w:before="240" w:after="120"/>
        <w:ind w:left="0" w:hanging="0"/>
        <w:contextualSpacing w:val="false"/>
        <w:jc w:val="center"/>
        <w:rPr>
          <w:b/>
          <w:szCs w:val="24"/>
        </w:rPr>
      </w:pPr>
      <w:r>
        <w:rPr>
          <w:rFonts w:ascii="Times New Roman" w:hAnsi="Times New Roman"/>
          <w:b/>
          <w:szCs w:val="24"/>
        </w:rPr>
        <w:t>ПЕРЕХОД ПРАВА СОБСТВЕННОСТИ</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 кадастра и картографии по Амурской области.</w:t>
      </w:r>
    </w:p>
    <w:p>
      <w:pPr>
        <w:pStyle w:val="ListParagraph"/>
        <w:numPr>
          <w:ilvl w:val="0"/>
          <w:numId w:val="12"/>
        </w:numPr>
        <w:spacing w:before="240" w:after="120"/>
        <w:ind w:left="0" w:hanging="0"/>
        <w:contextualSpacing w:val="false"/>
        <w:jc w:val="center"/>
        <w:rPr>
          <w:b/>
          <w:szCs w:val="24"/>
        </w:rPr>
      </w:pPr>
      <w:r>
        <w:rPr>
          <w:rFonts w:ascii="Times New Roman" w:hAnsi="Times New Roman"/>
          <w:b/>
          <w:szCs w:val="24"/>
        </w:rPr>
        <w:t>СРОК ДЕЙСТВИЯ ДОГОВОРА</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pPr>
        <w:pStyle w:val="ListParagraph"/>
        <w:numPr>
          <w:ilvl w:val="0"/>
          <w:numId w:val="12"/>
        </w:numPr>
        <w:spacing w:before="240" w:after="120"/>
        <w:ind w:left="0" w:hanging="0"/>
        <w:contextualSpacing w:val="false"/>
        <w:jc w:val="center"/>
        <w:rPr>
          <w:b/>
          <w:szCs w:val="24"/>
        </w:rPr>
      </w:pPr>
      <w:r>
        <w:rPr>
          <w:rFonts w:ascii="Times New Roman" w:hAnsi="Times New Roman"/>
          <w:b/>
          <w:szCs w:val="24"/>
        </w:rPr>
        <w:t>ПРОЧИЕ УСЛОВИЯ</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Управление Федеральной службы государственной регистрации, кадастра и картографии по Пермскому краю.</w:t>
      </w:r>
    </w:p>
    <w:p>
      <w:pPr>
        <w:pStyle w:val="ListParagraph"/>
        <w:numPr>
          <w:ilvl w:val="1"/>
          <w:numId w:val="12"/>
        </w:numPr>
        <w:spacing w:before="0" w:after="0"/>
        <w:ind w:left="0" w:firstLine="567"/>
        <w:contextualSpacing w:val="false"/>
        <w:jc w:val="both"/>
        <w:rPr>
          <w:szCs w:val="24"/>
        </w:rPr>
      </w:pPr>
      <w:r>
        <w:rPr>
          <w:rFonts w:ascii="Times New Roman" w:hAnsi="Times New Roman"/>
          <w:szCs w:val="24"/>
        </w:rPr>
        <w:t>Неотъемлемой частью настоящего договора является:</w:t>
      </w:r>
    </w:p>
    <w:p>
      <w:pPr>
        <w:pStyle w:val="Normal"/>
        <w:widowControl w:val="false"/>
        <w:numPr>
          <w:ilvl w:val="0"/>
          <w:numId w:val="13"/>
        </w:numPr>
        <w:spacing w:before="0" w:after="0"/>
        <w:ind w:left="1134" w:hanging="567"/>
        <w:jc w:val="left"/>
        <w:rPr>
          <w:sz w:val="24"/>
          <w:szCs w:val="24"/>
        </w:rPr>
      </w:pPr>
      <w:r>
        <w:rPr>
          <w:sz w:val="24"/>
          <w:szCs w:val="24"/>
        </w:rPr>
        <w:t>Приложение №1 - «Акт приема-передачи».</w:t>
      </w:r>
    </w:p>
    <w:p>
      <w:pPr>
        <w:pStyle w:val="ListParagraph"/>
        <w:numPr>
          <w:ilvl w:val="0"/>
          <w:numId w:val="12"/>
        </w:numPr>
        <w:spacing w:before="240" w:after="120"/>
        <w:ind w:left="0" w:hanging="0"/>
        <w:contextualSpacing w:val="false"/>
        <w:jc w:val="center"/>
        <w:rPr>
          <w:b/>
          <w:szCs w:val="24"/>
        </w:rPr>
      </w:pPr>
      <w:r>
        <w:rPr>
          <w:rFonts w:ascii="Times New Roman" w:hAnsi="Times New Roman"/>
          <w:b/>
          <w:szCs w:val="24"/>
        </w:rPr>
        <w:t>РЕКВИЗИТЫ СТОРОН</w:t>
      </w:r>
    </w:p>
    <w:tbl>
      <w:tblPr>
        <w:tblW w:w="10002"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4960"/>
        <w:gridCol w:w="5041"/>
      </w:tblGrid>
      <w:tr>
        <w:trPr>
          <w:trHeight w:val="314" w:hRule="atLeast"/>
        </w:trPr>
        <w:tc>
          <w:tcPr>
            <w:tcW w:w="4960"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0"/>
              <w:rPr>
                <w:b/>
                <w:sz w:val="24"/>
                <w:szCs w:val="24"/>
              </w:rPr>
            </w:pPr>
            <w:r>
              <w:rPr>
                <w:b/>
                <w:sz w:val="24"/>
                <w:szCs w:val="24"/>
              </w:rPr>
              <w:t>«Продавец»</w:t>
            </w:r>
          </w:p>
        </w:tc>
        <w:tc>
          <w:tcPr>
            <w:tcW w:w="504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0"/>
              <w:rPr>
                <w:b/>
                <w:sz w:val="24"/>
                <w:szCs w:val="24"/>
              </w:rPr>
            </w:pPr>
            <w:r>
              <w:rPr>
                <w:b/>
                <w:sz w:val="24"/>
                <w:szCs w:val="24"/>
              </w:rPr>
              <w:t>«Покупатель»</w:t>
            </w:r>
          </w:p>
        </w:tc>
      </w:tr>
      <w:tr>
        <w:trPr/>
        <w:tc>
          <w:tcPr>
            <w:tcW w:w="4960" w:type="dxa"/>
            <w:tcBorders>
              <w:top w:val="single" w:sz="4" w:space="0" w:color="FFFFFF"/>
              <w:left w:val="single" w:sz="4" w:space="0" w:color="FFFFFF"/>
              <w:bottom w:val="single" w:sz="4" w:space="0" w:color="FFFFFF"/>
              <w:right w:val="single" w:sz="4" w:space="0" w:color="FFFFFF"/>
            </w:tcBorders>
          </w:tcPr>
          <w:p>
            <w:pPr>
              <w:pStyle w:val="Normal"/>
              <w:widowControl w:val="false"/>
              <w:spacing w:before="120" w:after="0"/>
              <w:ind w:left="176" w:hanging="0"/>
              <w:rPr>
                <w:b/>
                <w:color w:val="000000"/>
                <w:sz w:val="24"/>
                <w:szCs w:val="24"/>
              </w:rPr>
            </w:pPr>
            <w:r>
              <w:rPr>
                <w:b/>
                <w:color w:val="000000"/>
                <w:sz w:val="24"/>
                <w:szCs w:val="24"/>
              </w:rPr>
              <w:t>ПАО «РусГидро»</w:t>
            </w:r>
          </w:p>
          <w:p>
            <w:pPr>
              <w:pStyle w:val="Normal"/>
              <w:widowControl w:val="false"/>
              <w:spacing w:before="0" w:after="0"/>
              <w:jc w:val="center"/>
              <w:rPr>
                <w:sz w:val="24"/>
                <w:szCs w:val="24"/>
              </w:rPr>
            </w:pPr>
            <w:r>
              <w:rPr>
                <w:sz w:val="24"/>
                <w:szCs w:val="24"/>
              </w:rPr>
            </w:r>
          </w:p>
        </w:tc>
        <w:tc>
          <w:tcPr>
            <w:tcW w:w="5041" w:type="dxa"/>
            <w:tcBorders>
              <w:top w:val="single" w:sz="4" w:space="0" w:color="FFFFFF"/>
              <w:left w:val="single" w:sz="4" w:space="0" w:color="FFFFFF"/>
              <w:bottom w:val="single" w:sz="4" w:space="0" w:color="FFFFFF"/>
              <w:right w:val="single" w:sz="4" w:space="0" w:color="FFFFFF"/>
            </w:tcBorders>
          </w:tcPr>
          <w:p>
            <w:pPr>
              <w:pStyle w:val="Normal"/>
              <w:keepNext w:val="true"/>
              <w:widowControl w:val="false"/>
              <w:numPr>
                <w:ilvl w:val="0"/>
                <w:numId w:val="0"/>
              </w:numPr>
              <w:spacing w:before="0" w:after="0"/>
              <w:ind w:left="0" w:hanging="0"/>
              <w:outlineLvl w:val="0"/>
              <w:rPr>
                <w:sz w:val="24"/>
                <w:szCs w:val="24"/>
              </w:rPr>
            </w:pPr>
            <w:r>
              <w:rPr>
                <w:sz w:val="24"/>
                <w:szCs w:val="24"/>
              </w:rPr>
            </w:r>
          </w:p>
        </w:tc>
      </w:tr>
      <w:tr>
        <w:trPr>
          <w:trHeight w:val="2095" w:hRule="atLeast"/>
        </w:trPr>
        <w:tc>
          <w:tcPr>
            <w:tcW w:w="4960" w:type="dxa"/>
            <w:tcBorders>
              <w:top w:val="single" w:sz="4" w:space="0" w:color="FFFFFF"/>
              <w:left w:val="single" w:sz="4" w:space="0" w:color="FFFFFF"/>
              <w:bottom w:val="single" w:sz="4" w:space="0" w:color="FFFFFF"/>
              <w:right w:val="single" w:sz="4" w:space="0" w:color="FFFFFF"/>
            </w:tcBorders>
          </w:tcPr>
          <w:p>
            <w:pPr>
              <w:pStyle w:val="Normal"/>
              <w:widowControl w:val="false"/>
              <w:spacing w:before="120" w:after="0"/>
              <w:ind w:right="-83" w:hanging="0"/>
              <w:rPr>
                <w:color w:val="000000"/>
                <w:sz w:val="24"/>
                <w:szCs w:val="24"/>
              </w:rPr>
            </w:pPr>
            <w:r>
              <w:rPr>
                <w:sz w:val="24"/>
                <w:szCs w:val="24"/>
              </w:rPr>
              <w:t>Место нахождения</w:t>
            </w:r>
            <w:r>
              <w:rPr>
                <w:color w:val="000000"/>
                <w:sz w:val="24"/>
                <w:szCs w:val="24"/>
              </w:rPr>
              <w:t>: 660017, Красноярский</w:t>
            </w:r>
          </w:p>
          <w:p>
            <w:pPr>
              <w:pStyle w:val="Normal"/>
              <w:widowControl w:val="false"/>
              <w:ind w:right="-83" w:hanging="0"/>
              <w:rPr>
                <w:color w:val="000000"/>
                <w:sz w:val="24"/>
                <w:szCs w:val="24"/>
              </w:rPr>
            </w:pPr>
            <w:r>
              <w:rPr>
                <w:color w:val="000000"/>
                <w:sz w:val="24"/>
                <w:szCs w:val="24"/>
              </w:rPr>
              <w:t>край, г. Красноярск, ул. Дубровинского,</w:t>
            </w:r>
          </w:p>
          <w:p>
            <w:pPr>
              <w:pStyle w:val="Normal"/>
              <w:widowControl w:val="false"/>
              <w:ind w:right="-83" w:hanging="0"/>
              <w:rPr>
                <w:color w:val="000000"/>
                <w:sz w:val="24"/>
                <w:szCs w:val="24"/>
              </w:rPr>
            </w:pPr>
            <w:r>
              <w:rPr>
                <w:color w:val="000000"/>
                <w:sz w:val="24"/>
                <w:szCs w:val="24"/>
              </w:rPr>
              <w:t xml:space="preserve"> </w:t>
            </w:r>
            <w:r>
              <w:rPr>
                <w:color w:val="000000"/>
                <w:sz w:val="24"/>
                <w:szCs w:val="24"/>
              </w:rPr>
              <w:t>д. 43, стр. 1.</w:t>
            </w:r>
          </w:p>
          <w:p>
            <w:pPr>
              <w:pStyle w:val="Normal"/>
              <w:widowControl w:val="false"/>
              <w:ind w:right="-83" w:hanging="0"/>
              <w:rPr>
                <w:bCs/>
                <w:color w:val="000000"/>
                <w:sz w:val="24"/>
                <w:szCs w:val="24"/>
                <w:u w:val="single"/>
              </w:rPr>
            </w:pPr>
            <w:r>
              <w:rPr>
                <w:bCs/>
                <w:color w:val="000000"/>
                <w:sz w:val="24"/>
                <w:szCs w:val="24"/>
                <w:u w:val="single"/>
              </w:rPr>
              <w:t xml:space="preserve">Филиал ПАО «РусГидро» - «Зейская ГЭС» </w:t>
            </w:r>
          </w:p>
          <w:p>
            <w:pPr>
              <w:pStyle w:val="Normal"/>
              <w:widowControl w:val="false"/>
              <w:ind w:left="-748" w:right="-83" w:hanging="0"/>
              <w:rPr>
                <w:sz w:val="24"/>
                <w:szCs w:val="24"/>
              </w:rPr>
            </w:pPr>
            <w:r>
              <w:rPr>
                <w:sz w:val="24"/>
                <w:szCs w:val="24"/>
              </w:rPr>
              <w:t xml:space="preserve">             </w:t>
            </w:r>
            <w:r>
              <w:rPr>
                <w:sz w:val="24"/>
                <w:szCs w:val="24"/>
              </w:rPr>
              <w:t xml:space="preserve">Почтовый адрес: 676244, </w:t>
            </w:r>
          </w:p>
          <w:p>
            <w:pPr>
              <w:pStyle w:val="Normal"/>
              <w:widowControl w:val="false"/>
              <w:ind w:left="-225" w:right="-83" w:firstLine="142"/>
              <w:rPr>
                <w:sz w:val="24"/>
                <w:szCs w:val="24"/>
              </w:rPr>
            </w:pPr>
            <w:r>
              <w:rPr>
                <w:sz w:val="24"/>
                <w:szCs w:val="24"/>
              </w:rPr>
              <w:t>Амурская область, г.Зея</w:t>
            </w:r>
          </w:p>
          <w:p>
            <w:pPr>
              <w:pStyle w:val="Normal"/>
              <w:widowControl w:val="false"/>
              <w:ind w:left="-748" w:right="-83" w:hanging="0"/>
              <w:rPr>
                <w:sz w:val="24"/>
                <w:szCs w:val="24"/>
              </w:rPr>
            </w:pPr>
            <w:r>
              <w:rPr>
                <w:sz w:val="24"/>
                <w:szCs w:val="24"/>
              </w:rPr>
              <w:t xml:space="preserve">             </w:t>
            </w:r>
            <w:r>
              <w:rPr>
                <w:sz w:val="24"/>
                <w:szCs w:val="24"/>
              </w:rPr>
              <w:t>Тел: (41658) 241-35</w:t>
            </w:r>
            <w:r>
              <w:rPr>
                <w:color w:val="000000"/>
                <w:sz w:val="24"/>
                <w:szCs w:val="24"/>
              </w:rPr>
              <w:t xml:space="preserve"> </w:t>
            </w:r>
          </w:p>
          <w:p>
            <w:pPr>
              <w:pStyle w:val="Normal"/>
              <w:widowControl w:val="false"/>
              <w:ind w:left="-748" w:right="-83" w:hanging="0"/>
              <w:rPr>
                <w:sz w:val="24"/>
                <w:szCs w:val="24"/>
              </w:rPr>
            </w:pPr>
            <w:r>
              <w:rPr>
                <w:sz w:val="24"/>
                <w:szCs w:val="24"/>
              </w:rPr>
              <w:t xml:space="preserve">             </w:t>
            </w:r>
            <w:r>
              <w:rPr>
                <w:sz w:val="24"/>
                <w:szCs w:val="24"/>
              </w:rPr>
              <w:t>ИНН 2460066195  КПП 280502001</w:t>
            </w:r>
          </w:p>
          <w:p>
            <w:pPr>
              <w:pStyle w:val="Normal"/>
              <w:widowControl w:val="false"/>
              <w:ind w:left="-748" w:right="-83" w:hanging="0"/>
              <w:rPr>
                <w:sz w:val="24"/>
                <w:szCs w:val="24"/>
              </w:rPr>
            </w:pPr>
            <w:r>
              <w:rPr>
                <w:sz w:val="24"/>
                <w:szCs w:val="24"/>
              </w:rPr>
              <w:t xml:space="preserve">             </w:t>
            </w:r>
            <w:r>
              <w:rPr>
                <w:sz w:val="24"/>
                <w:szCs w:val="24"/>
              </w:rPr>
              <w:t xml:space="preserve">р/счет </w:t>
            </w:r>
          </w:p>
          <w:p>
            <w:pPr>
              <w:pStyle w:val="Normal"/>
              <w:widowControl w:val="false"/>
              <w:ind w:left="-748" w:right="-83" w:firstLine="748"/>
              <w:rPr>
                <w:sz w:val="24"/>
                <w:szCs w:val="24"/>
              </w:rPr>
            </w:pPr>
            <w:r>
              <w:rPr>
                <w:sz w:val="24"/>
                <w:szCs w:val="24"/>
              </w:rPr>
              <w:t xml:space="preserve">БИК </w:t>
            </w:r>
          </w:p>
          <w:p>
            <w:pPr>
              <w:pStyle w:val="Normal"/>
              <w:widowControl w:val="false"/>
              <w:ind w:left="-748" w:right="-83" w:firstLine="748"/>
              <w:rPr>
                <w:sz w:val="24"/>
                <w:szCs w:val="24"/>
              </w:rPr>
            </w:pPr>
            <w:r>
              <w:rPr>
                <w:sz w:val="24"/>
                <w:szCs w:val="24"/>
              </w:rPr>
              <w:t xml:space="preserve">к/с </w:t>
            </w:r>
          </w:p>
          <w:p>
            <w:pPr>
              <w:pStyle w:val="Normal"/>
              <w:widowControl w:val="false"/>
              <w:spacing w:before="0" w:after="0"/>
              <w:ind w:right="-108" w:hanging="0"/>
              <w:jc w:val="left"/>
              <w:rPr>
                <w:sz w:val="24"/>
                <w:szCs w:val="24"/>
              </w:rPr>
            </w:pPr>
            <w:r>
              <w:rPr>
                <w:sz w:val="24"/>
                <w:szCs w:val="24"/>
              </w:rPr>
            </w:r>
          </w:p>
        </w:tc>
        <w:tc>
          <w:tcPr>
            <w:tcW w:w="504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0"/>
              <w:jc w:val="left"/>
              <w:rPr>
                <w:sz w:val="24"/>
                <w:szCs w:val="24"/>
              </w:rPr>
            </w:pPr>
            <w:r>
              <w:rPr>
                <w:sz w:val="24"/>
                <w:szCs w:val="24"/>
              </w:rPr>
            </w:r>
          </w:p>
        </w:tc>
      </w:tr>
      <w:tr>
        <w:trPr/>
        <w:tc>
          <w:tcPr>
            <w:tcW w:w="4960" w:type="dxa"/>
            <w:tcBorders>
              <w:top w:val="single" w:sz="4" w:space="0" w:color="FFFFFF"/>
              <w:left w:val="single" w:sz="4" w:space="0" w:color="FFFFFF"/>
              <w:bottom w:val="single" w:sz="4" w:space="0" w:color="FFFFFF"/>
              <w:right w:val="single" w:sz="4" w:space="0" w:color="FFFFFF"/>
            </w:tcBorders>
          </w:tcPr>
          <w:p>
            <w:pPr>
              <w:pStyle w:val="Normal"/>
              <w:widowControl w:val="false"/>
              <w:spacing w:lineRule="atLeast" w:line="240" w:before="0" w:after="0"/>
              <w:jc w:val="left"/>
              <w:rPr>
                <w:b/>
                <w:sz w:val="23"/>
                <w:szCs w:val="23"/>
              </w:rPr>
            </w:pPr>
            <w:r>
              <w:rPr>
                <w:b/>
                <w:sz w:val="23"/>
                <w:szCs w:val="23"/>
              </w:rPr>
            </w:r>
          </w:p>
        </w:tc>
        <w:tc>
          <w:tcPr>
            <w:tcW w:w="504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0"/>
              <w:jc w:val="left"/>
              <w:rPr>
                <w:b/>
                <w:sz w:val="23"/>
                <w:szCs w:val="23"/>
              </w:rPr>
            </w:pPr>
            <w:r>
              <w:rPr>
                <w:b/>
                <w:sz w:val="23"/>
                <w:szCs w:val="23"/>
              </w:rPr>
            </w:r>
          </w:p>
        </w:tc>
      </w:tr>
      <w:tr>
        <w:trPr>
          <w:trHeight w:val="1273" w:hRule="atLeast"/>
        </w:trPr>
        <w:tc>
          <w:tcPr>
            <w:tcW w:w="4960" w:type="dxa"/>
            <w:tcBorders>
              <w:top w:val="single" w:sz="4" w:space="0" w:color="FFFFFF"/>
              <w:left w:val="single" w:sz="4" w:space="0" w:color="FFFFFF"/>
              <w:bottom w:val="single" w:sz="4" w:space="0" w:color="FFFFFF"/>
              <w:right w:val="single" w:sz="4" w:space="0" w:color="FFFFFF"/>
            </w:tcBorders>
          </w:tcPr>
          <w:p>
            <w:pPr>
              <w:pStyle w:val="Normal"/>
              <w:widowControl w:val="false"/>
              <w:spacing w:lineRule="atLeast" w:line="240" w:before="0" w:after="0"/>
              <w:jc w:val="left"/>
              <w:rPr>
                <w:b/>
                <w:sz w:val="23"/>
                <w:szCs w:val="23"/>
              </w:rPr>
            </w:pPr>
            <w:r>
              <w:rPr>
                <w:b/>
                <w:sz w:val="23"/>
                <w:szCs w:val="23"/>
              </w:rPr>
            </w:r>
          </w:p>
          <w:p>
            <w:pPr>
              <w:pStyle w:val="Normal"/>
              <w:widowControl w:val="false"/>
              <w:rPr>
                <w:sz w:val="24"/>
                <w:szCs w:val="24"/>
              </w:rPr>
            </w:pPr>
            <w:r>
              <w:rPr>
                <w:sz w:val="24"/>
                <w:szCs w:val="24"/>
              </w:rPr>
              <w:t xml:space="preserve">Филиал </w:t>
            </w:r>
          </w:p>
          <w:p>
            <w:pPr>
              <w:pStyle w:val="Normal"/>
              <w:widowControl w:val="false"/>
              <w:rPr>
                <w:color w:val="000000"/>
                <w:sz w:val="24"/>
                <w:szCs w:val="24"/>
              </w:rPr>
            </w:pPr>
            <w:r>
              <w:rPr>
                <w:color w:val="000000"/>
                <w:sz w:val="24"/>
                <w:szCs w:val="24"/>
              </w:rPr>
              <w:t>ПАО «РусГидро»- «Зейская ГЭС»</w:t>
            </w:r>
          </w:p>
          <w:p>
            <w:pPr>
              <w:pStyle w:val="Normal"/>
              <w:widowControl w:val="false"/>
              <w:rPr>
                <w:color w:val="000000"/>
                <w:sz w:val="24"/>
                <w:szCs w:val="24"/>
              </w:rPr>
            </w:pPr>
            <w:r>
              <w:rPr>
                <w:sz w:val="24"/>
                <w:szCs w:val="24"/>
              </w:rPr>
              <w:t>Директор</w:t>
            </w:r>
          </w:p>
          <w:p>
            <w:pPr>
              <w:pStyle w:val="Normal"/>
              <w:widowControl w:val="false"/>
              <w:rPr>
                <w:color w:val="000000"/>
                <w:sz w:val="24"/>
                <w:szCs w:val="24"/>
                <w:highlight w:val="yellow"/>
              </w:rPr>
            </w:pPr>
            <w:r>
              <w:rPr>
                <w:color w:val="000000"/>
                <w:sz w:val="24"/>
                <w:szCs w:val="24"/>
                <w:highlight w:val="yellow"/>
              </w:rPr>
            </w:r>
          </w:p>
          <w:p>
            <w:pPr>
              <w:pStyle w:val="Normal"/>
              <w:widowControl w:val="false"/>
              <w:rPr>
                <w:color w:val="000000"/>
                <w:sz w:val="24"/>
                <w:szCs w:val="24"/>
              </w:rPr>
            </w:pPr>
            <w:r>
              <w:rPr>
                <w:color w:val="000000"/>
                <w:sz w:val="24"/>
                <w:szCs w:val="24"/>
              </w:rPr>
              <w:t>_______________________/ /</w:t>
            </w:r>
          </w:p>
          <w:p>
            <w:pPr>
              <w:pStyle w:val="Normal"/>
              <w:widowControl w:val="false"/>
              <w:spacing w:lineRule="atLeast" w:line="240" w:before="0" w:after="0"/>
              <w:jc w:val="left"/>
              <w:rPr>
                <w:sz w:val="23"/>
                <w:szCs w:val="23"/>
              </w:rPr>
            </w:pPr>
            <w:r>
              <w:rPr>
                <w:color w:val="000000"/>
              </w:rPr>
              <w:t>м.п.</w:t>
            </w:r>
          </w:p>
        </w:tc>
        <w:tc>
          <w:tcPr>
            <w:tcW w:w="5041" w:type="dxa"/>
            <w:tcBorders>
              <w:top w:val="single" w:sz="4" w:space="0" w:color="FFFFFF"/>
              <w:left w:val="single" w:sz="4" w:space="0" w:color="FFFFFF"/>
              <w:bottom w:val="single" w:sz="4" w:space="0" w:color="FFFFFF"/>
              <w:right w:val="single" w:sz="4" w:space="0" w:color="FFFFFF"/>
            </w:tcBorders>
          </w:tcPr>
          <w:p>
            <w:pPr>
              <w:pStyle w:val="Normal"/>
              <w:widowControl w:val="false"/>
              <w:spacing w:before="0" w:after="0"/>
              <w:jc w:val="left"/>
              <w:rPr>
                <w:b/>
                <w:sz w:val="23"/>
                <w:szCs w:val="23"/>
              </w:rPr>
            </w:pPr>
            <w:r>
              <w:rPr>
                <w:b/>
                <w:sz w:val="23"/>
                <w:szCs w:val="23"/>
              </w:rPr>
            </w:r>
          </w:p>
          <w:p>
            <w:pPr>
              <w:pStyle w:val="Normal"/>
              <w:widowControl w:val="false"/>
              <w:spacing w:before="0" w:after="0"/>
              <w:jc w:val="left"/>
              <w:rPr>
                <w:sz w:val="23"/>
                <w:szCs w:val="23"/>
              </w:rPr>
            </w:pPr>
            <w:r>
              <w:rPr>
                <w:sz w:val="23"/>
                <w:szCs w:val="23"/>
              </w:rPr>
            </w:r>
          </w:p>
        </w:tc>
      </w:tr>
    </w:tbl>
    <w:p>
      <w:pPr>
        <w:pStyle w:val="Normal"/>
        <w:jc w:val="right"/>
        <w:rPr>
          <w:bCs/>
          <w:sz w:val="24"/>
          <w:szCs w:val="24"/>
        </w:rPr>
      </w:pPr>
      <w:r>
        <w:rPr>
          <w:bCs/>
          <w:sz w:val="24"/>
          <w:szCs w:val="24"/>
        </w:rPr>
      </w:r>
    </w:p>
    <w:p>
      <w:pPr>
        <w:pStyle w:val="Normal"/>
        <w:rPr>
          <w:bCs/>
          <w:sz w:val="24"/>
          <w:szCs w:val="24"/>
        </w:rPr>
      </w:pPr>
      <w:r>
        <w:rPr>
          <w:bCs/>
          <w:sz w:val="24"/>
          <w:szCs w:val="24"/>
        </w:rPr>
      </w:r>
      <w:r>
        <w:br w:type="page"/>
      </w:r>
    </w:p>
    <w:p>
      <w:pPr>
        <w:pStyle w:val="Normal"/>
        <w:jc w:val="right"/>
        <w:rPr>
          <w:bCs/>
          <w:sz w:val="24"/>
          <w:szCs w:val="24"/>
        </w:rPr>
      </w:pPr>
      <w:r>
        <w:rPr>
          <w:bCs/>
          <w:sz w:val="24"/>
          <w:szCs w:val="24"/>
        </w:rPr>
        <w:t>Приложение №1 к Договору купли- продажи №</w:t>
      </w:r>
    </w:p>
    <w:p>
      <w:pPr>
        <w:pStyle w:val="Normal"/>
        <w:jc w:val="right"/>
        <w:rPr>
          <w:bCs/>
          <w:sz w:val="24"/>
          <w:szCs w:val="24"/>
        </w:rPr>
      </w:pPr>
      <w:r>
        <w:rPr>
          <w:bCs/>
          <w:sz w:val="24"/>
          <w:szCs w:val="24"/>
        </w:rPr>
        <w:t>от «___»________________202__г.</w:t>
      </w:r>
    </w:p>
    <w:p>
      <w:pPr>
        <w:pStyle w:val="Normal"/>
        <w:jc w:val="center"/>
        <w:rPr>
          <w:bCs/>
          <w:sz w:val="24"/>
          <w:szCs w:val="24"/>
        </w:rPr>
      </w:pPr>
      <w:r>
        <w:rPr>
          <w:bCs/>
          <w:sz w:val="24"/>
          <w:szCs w:val="24"/>
        </w:rPr>
        <w:t>АКТ</w:t>
      </w:r>
    </w:p>
    <w:p>
      <w:pPr>
        <w:pStyle w:val="BodyTextIndent"/>
        <w:tabs>
          <w:tab w:val="clear" w:pos="567"/>
          <w:tab w:val="left" w:pos="5625" w:leader="none"/>
        </w:tabs>
        <w:jc w:val="center"/>
        <w:rPr>
          <w:bCs/>
          <w:i w:val="false"/>
          <w:i w:val="false"/>
          <w:sz w:val="24"/>
          <w:szCs w:val="24"/>
        </w:rPr>
      </w:pPr>
      <w:r>
        <w:rPr>
          <w:bCs/>
          <w:i w:val="false"/>
          <w:sz w:val="24"/>
          <w:szCs w:val="24"/>
        </w:rPr>
        <w:t xml:space="preserve"> </w:t>
      </w:r>
      <w:r>
        <w:rPr>
          <w:bCs/>
          <w:i w:val="false"/>
          <w:sz w:val="24"/>
          <w:szCs w:val="24"/>
        </w:rPr>
        <w:t xml:space="preserve">Приемки-передачи имущества </w:t>
      </w:r>
    </w:p>
    <w:p>
      <w:pPr>
        <w:pStyle w:val="BodyTextIndent"/>
        <w:tabs>
          <w:tab w:val="clear" w:pos="567"/>
          <w:tab w:val="left" w:pos="5625" w:leader="none"/>
        </w:tabs>
        <w:jc w:val="center"/>
        <w:rPr>
          <w:b/>
          <w:bCs/>
          <w:i w:val="false"/>
          <w:i w:val="false"/>
          <w:sz w:val="24"/>
          <w:szCs w:val="24"/>
        </w:rPr>
      </w:pPr>
      <w:r>
        <w:rPr>
          <w:b/>
          <w:bCs/>
          <w:i w:val="false"/>
          <w:sz w:val="24"/>
          <w:szCs w:val="24"/>
        </w:rPr>
      </w:r>
    </w:p>
    <w:p>
      <w:pPr>
        <w:pStyle w:val="BodyTextIndent"/>
        <w:tabs>
          <w:tab w:val="clear" w:pos="567"/>
          <w:tab w:val="left" w:pos="5625" w:leader="none"/>
        </w:tabs>
        <w:ind w:hanging="0"/>
        <w:jc w:val="left"/>
        <w:rPr>
          <w:i w:val="false"/>
          <w:i w:val="false"/>
          <w:sz w:val="24"/>
          <w:szCs w:val="24"/>
        </w:rPr>
      </w:pPr>
      <w:r>
        <w:rPr>
          <w:i w:val="false"/>
          <w:sz w:val="24"/>
          <w:szCs w:val="24"/>
        </w:rPr>
        <w:t>г. Зея                                                                                                          «___»____________202__г.</w:t>
      </w:r>
    </w:p>
    <w:p>
      <w:pPr>
        <w:pStyle w:val="BodyTextIndent"/>
        <w:tabs>
          <w:tab w:val="clear" w:pos="567"/>
          <w:tab w:val="left" w:pos="5625" w:leader="none"/>
        </w:tabs>
        <w:ind w:hanging="0"/>
        <w:jc w:val="left"/>
        <w:rPr>
          <w:sz w:val="24"/>
          <w:szCs w:val="24"/>
        </w:rPr>
      </w:pPr>
      <w:r>
        <w:rPr>
          <w:sz w:val="24"/>
          <w:szCs w:val="24"/>
        </w:rPr>
        <w:t xml:space="preserve">                    </w:t>
      </w:r>
    </w:p>
    <w:p>
      <w:pPr>
        <w:pStyle w:val="BodyText"/>
        <w:tabs>
          <w:tab w:val="left" w:pos="360" w:leader="none"/>
          <w:tab w:val="right" w:pos="9360" w:leader="none"/>
        </w:tabs>
        <w:rPr>
          <w:sz w:val="24"/>
        </w:rPr>
      </w:pPr>
      <w:r>
        <w:rPr>
          <w:sz w:val="24"/>
        </w:rPr>
        <w:t xml:space="preserve">       </w:t>
      </w:r>
      <w:r>
        <w:rPr>
          <w:b/>
          <w:sz w:val="24"/>
        </w:rPr>
        <w:t xml:space="preserve">       </w:t>
      </w:r>
      <w:r>
        <w:rPr>
          <w:color w:val="000000"/>
          <w:sz w:val="24"/>
        </w:rPr>
        <w:t>Публичное акционерное общество «Федеральная гидрогенерирующая компания – РусГидро»</w:t>
      </w:r>
      <w:r>
        <w:rPr>
          <w:sz w:val="24"/>
        </w:rPr>
        <w:t xml:space="preserve"> (ПАО «РусГидро»), в лице директора Филиала ПАО «РусГидро»-«Зейская ГЭС» Сухомесова Михаила Андреевича, действующего на основании доверенности от _______ № ____ и Положения о филиале, именуемое в дальнейшем «Продавец» с одной стороны и </w:t>
      </w:r>
      <w:r>
        <w:rPr>
          <w:b/>
          <w:sz w:val="24"/>
        </w:rPr>
        <w:t>__________________________________________,</w:t>
      </w:r>
      <w:r>
        <w:rPr>
          <w:sz w:val="24"/>
        </w:rPr>
        <w:t xml:space="preserve"> в лице ________________________________________________________________________, действующего на основании ________________________________________________________, с другой стороны, именуемый в дальнейшем «Покупатель», с другой стороны, а вместе именуемые «Стороны», составили настоящий Акт о нижеследующем:</w:t>
      </w:r>
    </w:p>
    <w:p>
      <w:pPr>
        <w:pStyle w:val="Xl30"/>
        <w:tabs>
          <w:tab w:val="clear" w:pos="567"/>
          <w:tab w:val="left" w:pos="360" w:leader="none"/>
          <w:tab w:val="left" w:pos="540" w:leader="none"/>
        </w:tabs>
        <w:spacing w:beforeAutospacing="0" w:before="0" w:afterAutospacing="0" w:after="0"/>
        <w:jc w:val="both"/>
        <w:rPr>
          <w:szCs w:val="24"/>
        </w:rPr>
      </w:pPr>
      <w:r>
        <w:rPr>
          <w:rFonts w:eastAsia="Times New Roman"/>
          <w:sz w:val="24"/>
          <w:szCs w:val="24"/>
        </w:rPr>
        <w:t xml:space="preserve">      </w:t>
      </w:r>
      <w:r>
        <w:rPr>
          <w:rFonts w:eastAsia="Times New Roman"/>
          <w:sz w:val="24"/>
          <w:szCs w:val="24"/>
        </w:rPr>
        <w:t>1. Продавец передает, а Покупатель принимает в собственность следующее имущество ____________________________________________________________________________________</w:t>
      </w:r>
    </w:p>
    <w:p>
      <w:pPr>
        <w:pStyle w:val="Xl30"/>
        <w:tabs>
          <w:tab w:val="clear" w:pos="567"/>
          <w:tab w:val="left" w:pos="360" w:leader="none"/>
          <w:tab w:val="left" w:pos="540" w:leader="none"/>
        </w:tabs>
        <w:spacing w:beforeAutospacing="0" w:before="0" w:afterAutospacing="0" w:after="0"/>
        <w:jc w:val="both"/>
        <w:rPr>
          <w:sz w:val="24"/>
          <w:szCs w:val="24"/>
        </w:rPr>
      </w:pPr>
      <w:r>
        <w:rPr>
          <w:szCs w:val="24"/>
        </w:rPr>
        <w:t xml:space="preserve">       </w:t>
      </w:r>
      <w:r>
        <w:rPr>
          <w:sz w:val="24"/>
          <w:szCs w:val="24"/>
        </w:rPr>
        <w:t>2.  На момент передачи Имущество находится в удовлетворительном состоянии и соответствует требованиям по его эксплуатации.</w:t>
      </w:r>
    </w:p>
    <w:p>
      <w:pPr>
        <w:pStyle w:val="Normal"/>
        <w:rPr>
          <w:sz w:val="24"/>
          <w:szCs w:val="24"/>
        </w:rPr>
      </w:pPr>
      <w:r>
        <w:rPr>
          <w:sz w:val="24"/>
          <w:szCs w:val="24"/>
        </w:rPr>
        <w:t xml:space="preserve">      </w:t>
      </w:r>
      <w:r>
        <w:rPr>
          <w:sz w:val="24"/>
          <w:szCs w:val="24"/>
        </w:rPr>
        <w:t>3.  Настоящий  Акт  свидетельствует  об  отсутствии  у Сторон  претензий друг  к  другу.</w:t>
      </w:r>
    </w:p>
    <w:p>
      <w:pPr>
        <w:pStyle w:val="Normal"/>
        <w:rPr>
          <w:sz w:val="24"/>
          <w:szCs w:val="24"/>
        </w:rPr>
      </w:pPr>
      <w:r>
        <w:rPr>
          <w:sz w:val="24"/>
          <w:szCs w:val="24"/>
        </w:rPr>
        <w:t xml:space="preserve">      </w:t>
      </w:r>
      <w:r>
        <w:rPr>
          <w:sz w:val="24"/>
          <w:szCs w:val="24"/>
        </w:rPr>
        <w:t>4. Акт составлен в трех экземплярах, каждый из которых имеет одинаковую юридическую силу.</w:t>
      </w:r>
    </w:p>
    <w:p>
      <w:pPr>
        <w:pStyle w:val="Normal"/>
        <w:rPr>
          <w:sz w:val="24"/>
          <w:szCs w:val="24"/>
        </w:rPr>
      </w:pPr>
      <w:r>
        <w:rPr>
          <w:sz w:val="24"/>
          <w:szCs w:val="24"/>
        </w:rPr>
      </w:r>
    </w:p>
    <w:p>
      <w:pPr>
        <w:pStyle w:val="BodyTextIndent"/>
        <w:tabs>
          <w:tab w:val="clear" w:pos="567"/>
          <w:tab w:val="center" w:pos="5174" w:leader="none"/>
          <w:tab w:val="left" w:pos="5400" w:leader="none"/>
        </w:tabs>
        <w:ind w:hanging="0"/>
        <w:jc w:val="center"/>
        <w:rPr>
          <w:bCs/>
          <w:i w:val="false"/>
          <w:i w:val="false"/>
          <w:sz w:val="24"/>
          <w:szCs w:val="24"/>
        </w:rPr>
      </w:pPr>
      <w:r>
        <w:rPr>
          <w:bCs/>
          <w:i w:val="false"/>
          <w:sz w:val="24"/>
          <w:szCs w:val="24"/>
        </w:rPr>
        <w:t>Подписи сторон:</w:t>
      </w:r>
    </w:p>
    <w:tbl>
      <w:tblPr>
        <w:tblW w:w="9570" w:type="dxa"/>
        <w:jc w:val="left"/>
        <w:tblInd w:w="0" w:type="dxa"/>
        <w:tblLayout w:type="fixed"/>
        <w:tblCellMar>
          <w:top w:w="0" w:type="dxa"/>
          <w:left w:w="108" w:type="dxa"/>
          <w:bottom w:w="0" w:type="dxa"/>
          <w:right w:w="108" w:type="dxa"/>
        </w:tblCellMar>
        <w:tblLook w:noVBand="0" w:val="0000" w:noHBand="0" w:lastColumn="0" w:firstColumn="0" w:lastRow="0" w:firstRow="0"/>
      </w:tblPr>
      <w:tblGrid>
        <w:gridCol w:w="4785"/>
        <w:gridCol w:w="4784"/>
      </w:tblGrid>
      <w:tr>
        <w:trPr>
          <w:trHeight w:val="2183" w:hRule="atLeast"/>
        </w:trPr>
        <w:tc>
          <w:tcPr>
            <w:tcW w:w="4785" w:type="dxa"/>
            <w:tcBorders/>
          </w:tcPr>
          <w:p>
            <w:pPr>
              <w:pStyle w:val="Normal"/>
              <w:widowControl w:val="false"/>
              <w:spacing w:before="120" w:after="0"/>
              <w:rPr>
                <w:bCs/>
                <w:sz w:val="24"/>
                <w:szCs w:val="24"/>
              </w:rPr>
            </w:pPr>
            <w:r>
              <w:rPr>
                <w:bCs/>
                <w:sz w:val="24"/>
                <w:szCs w:val="24"/>
              </w:rPr>
              <w:t xml:space="preserve">               </w:t>
            </w:r>
          </w:p>
          <w:p>
            <w:pPr>
              <w:pStyle w:val="Normal"/>
              <w:widowControl w:val="false"/>
              <w:rPr>
                <w:bCs/>
                <w:sz w:val="24"/>
                <w:szCs w:val="24"/>
              </w:rPr>
            </w:pPr>
            <w:r>
              <w:rPr>
                <w:bCs/>
                <w:sz w:val="24"/>
                <w:szCs w:val="24"/>
              </w:rPr>
              <w:t xml:space="preserve">             </w:t>
            </w:r>
            <w:r>
              <w:rPr>
                <w:bCs/>
                <w:sz w:val="24"/>
                <w:szCs w:val="24"/>
              </w:rPr>
              <w:t>Продавец:</w:t>
            </w:r>
          </w:p>
          <w:p>
            <w:pPr>
              <w:pStyle w:val="Normal"/>
              <w:widowControl w:val="false"/>
              <w:rPr>
                <w:bCs/>
                <w:sz w:val="24"/>
                <w:szCs w:val="24"/>
              </w:rPr>
            </w:pPr>
            <w:r>
              <w:rPr>
                <w:bCs/>
                <w:sz w:val="24"/>
                <w:szCs w:val="24"/>
              </w:rPr>
            </w:r>
          </w:p>
          <w:p>
            <w:pPr>
              <w:pStyle w:val="Normal"/>
              <w:widowControl w:val="false"/>
              <w:rPr>
                <w:sz w:val="24"/>
                <w:szCs w:val="24"/>
              </w:rPr>
            </w:pPr>
            <w:r>
              <w:rPr>
                <w:sz w:val="24"/>
                <w:szCs w:val="24"/>
              </w:rPr>
              <w:t xml:space="preserve">        </w:t>
            </w:r>
            <w:r>
              <w:rPr>
                <w:sz w:val="24"/>
                <w:szCs w:val="24"/>
              </w:rPr>
              <w:t xml:space="preserve">Филиал </w:t>
            </w:r>
          </w:p>
          <w:p>
            <w:pPr>
              <w:pStyle w:val="Normal"/>
              <w:widowControl w:val="false"/>
              <w:rPr>
                <w:color w:val="000000"/>
                <w:sz w:val="24"/>
                <w:szCs w:val="24"/>
              </w:rPr>
            </w:pPr>
            <w:r>
              <w:rPr>
                <w:color w:val="000000"/>
                <w:sz w:val="24"/>
                <w:szCs w:val="24"/>
              </w:rPr>
              <w:t xml:space="preserve">        </w:t>
            </w:r>
            <w:r>
              <w:rPr>
                <w:color w:val="000000"/>
                <w:sz w:val="24"/>
                <w:szCs w:val="24"/>
              </w:rPr>
              <w:t>ПАО «РусГидро»- «Зейская ГЭС»</w:t>
            </w:r>
          </w:p>
          <w:p>
            <w:pPr>
              <w:pStyle w:val="Normal"/>
              <w:widowControl w:val="false"/>
              <w:rPr>
                <w:color w:val="000000"/>
                <w:sz w:val="24"/>
                <w:szCs w:val="24"/>
              </w:rPr>
            </w:pPr>
            <w:r>
              <w:rPr>
                <w:sz w:val="24"/>
                <w:szCs w:val="24"/>
              </w:rPr>
              <w:t xml:space="preserve">        </w:t>
            </w:r>
            <w:r>
              <w:rPr>
                <w:sz w:val="24"/>
                <w:szCs w:val="24"/>
              </w:rPr>
              <w:t>Директор</w:t>
            </w:r>
          </w:p>
          <w:p>
            <w:pPr>
              <w:pStyle w:val="Normal"/>
              <w:widowControl w:val="false"/>
              <w:rPr>
                <w:color w:val="000000"/>
                <w:sz w:val="24"/>
                <w:szCs w:val="24"/>
              </w:rPr>
            </w:pPr>
            <w:r>
              <w:rPr>
                <w:color w:val="000000"/>
                <w:sz w:val="24"/>
                <w:szCs w:val="24"/>
              </w:rPr>
            </w:r>
          </w:p>
          <w:p>
            <w:pPr>
              <w:pStyle w:val="Normal"/>
              <w:widowControl w:val="false"/>
              <w:numPr>
                <w:ilvl w:val="0"/>
                <w:numId w:val="0"/>
              </w:numPr>
              <w:ind w:left="0" w:hanging="0"/>
              <w:outlineLvl w:val="0"/>
              <w:rPr>
                <w:sz w:val="24"/>
                <w:szCs w:val="24"/>
              </w:rPr>
            </w:pPr>
            <w:r>
              <w:rPr>
                <w:color w:val="000000"/>
                <w:sz w:val="24"/>
                <w:szCs w:val="24"/>
              </w:rPr>
              <w:t xml:space="preserve">         </w:t>
            </w:r>
            <w:r>
              <w:rPr>
                <w:color w:val="000000"/>
                <w:sz w:val="24"/>
                <w:szCs w:val="24"/>
              </w:rPr>
              <w:t xml:space="preserve">__________________/ /          </w:t>
            </w:r>
          </w:p>
          <w:p>
            <w:pPr>
              <w:pStyle w:val="Normal"/>
              <w:widowControl w:val="false"/>
              <w:rPr>
                <w:sz w:val="24"/>
                <w:szCs w:val="24"/>
              </w:rPr>
            </w:pPr>
            <w:r>
              <w:rPr>
                <w:sz w:val="24"/>
                <w:szCs w:val="24"/>
              </w:rPr>
              <w:t xml:space="preserve">         </w:t>
            </w:r>
            <w:r>
              <w:rPr>
                <w:sz w:val="24"/>
                <w:szCs w:val="24"/>
              </w:rPr>
              <w:t>М.п.</w:t>
            </w:r>
          </w:p>
        </w:tc>
        <w:tc>
          <w:tcPr>
            <w:tcW w:w="4784" w:type="dxa"/>
            <w:tcBorders/>
          </w:tcPr>
          <w:p>
            <w:pPr>
              <w:pStyle w:val="Normal"/>
              <w:widowControl w:val="false"/>
              <w:spacing w:before="120" w:after="0"/>
              <w:rPr>
                <w:bCs/>
                <w:sz w:val="24"/>
                <w:szCs w:val="24"/>
              </w:rPr>
            </w:pPr>
            <w:r>
              <w:rPr>
                <w:bCs/>
                <w:sz w:val="24"/>
                <w:szCs w:val="24"/>
              </w:rPr>
              <w:t xml:space="preserve">                            </w:t>
            </w:r>
          </w:p>
          <w:p>
            <w:pPr>
              <w:pStyle w:val="Normal"/>
              <w:widowControl w:val="false"/>
              <w:rPr>
                <w:bCs/>
                <w:sz w:val="24"/>
                <w:szCs w:val="24"/>
              </w:rPr>
            </w:pPr>
            <w:r>
              <w:rPr>
                <w:bCs/>
                <w:sz w:val="24"/>
                <w:szCs w:val="24"/>
              </w:rPr>
              <w:t xml:space="preserve">                            </w:t>
            </w:r>
            <w:r>
              <w:rPr>
                <w:bCs/>
                <w:sz w:val="24"/>
                <w:szCs w:val="24"/>
              </w:rPr>
              <w:t xml:space="preserve">Покупатель: </w:t>
            </w:r>
          </w:p>
          <w:p>
            <w:pPr>
              <w:pStyle w:val="Normal"/>
              <w:widowControl w:val="false"/>
              <w:rPr>
                <w:sz w:val="24"/>
                <w:szCs w:val="24"/>
              </w:rPr>
            </w:pPr>
            <w:r>
              <w:rPr>
                <w:sz w:val="24"/>
                <w:szCs w:val="24"/>
              </w:rPr>
            </w:r>
          </w:p>
        </w:tc>
      </w:tr>
    </w:tbl>
    <w:p>
      <w:pPr>
        <w:pStyle w:val="Style23"/>
        <w:numPr>
          <w:ilvl w:val="0"/>
          <w:numId w:val="0"/>
        </w:numPr>
        <w:ind w:left="0" w:hanging="0"/>
        <w:rPr>
          <w:b/>
        </w:rPr>
      </w:pPr>
      <w:r>
        <w:rPr>
          <w:b/>
        </w:rPr>
      </w:r>
    </w:p>
    <w:p>
      <w:pPr>
        <w:pStyle w:val="Style23"/>
        <w:numPr>
          <w:ilvl w:val="0"/>
          <w:numId w:val="0"/>
        </w:numPr>
        <w:ind w:left="0" w:hanging="0"/>
        <w:rPr>
          <w:b/>
        </w:rPr>
      </w:pPr>
      <w:r>
        <w:rPr>
          <w:b/>
        </w:rPr>
      </w:r>
    </w:p>
    <w:p>
      <w:pPr>
        <w:pStyle w:val="Heading1"/>
        <w:numPr>
          <w:ilvl w:val="0"/>
          <w:numId w:val="0"/>
        </w:numPr>
        <w:ind w:left="1134" w:hanging="0"/>
        <w:jc w:val="right"/>
        <w:rPr>
          <w:rFonts w:ascii="Times New Roman" w:hAnsi="Times New Roman"/>
          <w:b w:val="false"/>
          <w:sz w:val="24"/>
          <w:szCs w:val="24"/>
        </w:rPr>
      </w:pPr>
      <w:bookmarkStart w:id="489" w:name="_Ref513729886"/>
      <w:bookmarkStart w:id="490" w:name="_Toc43469262"/>
      <w:r>
        <w:rPr>
          <w:rFonts w:ascii="Times New Roman" w:hAnsi="Times New Roman"/>
          <w:b w:val="false"/>
          <w:sz w:val="24"/>
          <w:szCs w:val="24"/>
        </w:rPr>
        <w:t>Приложение № 3</w:t>
      </w:r>
      <w:bookmarkEnd w:id="489"/>
      <w:bookmarkEnd w:id="490"/>
    </w:p>
    <w:p>
      <w:pPr>
        <w:pStyle w:val="Normal"/>
        <w:jc w:val="center"/>
        <w:rPr>
          <w:b/>
          <w:sz w:val="28"/>
          <w:szCs w:val="28"/>
        </w:rPr>
      </w:pPr>
      <w:r>
        <w:rPr>
          <w:b/>
          <w:sz w:val="28"/>
          <w:szCs w:val="28"/>
        </w:rPr>
        <w:t>ТРЕБОВАНИЯ К УЧАСТНИКАМ АУКЦИОНА</w:t>
      </w:r>
    </w:p>
    <w:p>
      <w:pPr>
        <w:pStyle w:val="Normal"/>
        <w:jc w:val="center"/>
        <w:rPr>
          <w:b/>
        </w:rPr>
      </w:pPr>
      <w:r>
        <w:rPr>
          <w:b/>
        </w:rPr>
      </w:r>
    </w:p>
    <w:p>
      <w:pPr>
        <w:pStyle w:val="Normal"/>
        <w:rPr>
          <w:b/>
        </w:rPr>
      </w:pPr>
      <w:r>
        <w:rPr/>
        <w:t xml:space="preserve">Чтобы претендовать на победу в аукционе и получение права заключить договор с Продавцом, Участник аукциона должен отвечать нижеуказанным требованиям и включить в состав заявки нижеуказанные документы, подтверждающие его соответствие установленным требованиям: </w:t>
      </w:r>
    </w:p>
    <w:p>
      <w:pPr>
        <w:pStyle w:val="Heading2"/>
        <w:keepNext w:val="false"/>
        <w:widowControl w:val="false"/>
        <w:numPr>
          <w:ilvl w:val="0"/>
          <w:numId w:val="0"/>
        </w:numPr>
        <w:tabs>
          <w:tab w:val="clear" w:pos="567"/>
          <w:tab w:val="left" w:pos="6663" w:leader="none"/>
        </w:tabs>
        <w:suppressAutoHyphens w:val="false"/>
        <w:ind w:left="0" w:hanging="0"/>
        <w:jc w:val="center"/>
        <w:rPr>
          <w:sz w:val="28"/>
        </w:rPr>
      </w:pPr>
      <w:bookmarkStart w:id="491" w:name="_Ref524091588"/>
      <w:bookmarkStart w:id="492" w:name="_Toc43469263"/>
      <w:bookmarkStart w:id="493" w:name="_Ref513732930"/>
      <w:bookmarkStart w:id="494" w:name="_Ref514617948"/>
      <w:bookmarkStart w:id="495" w:name="_Toc514805485"/>
      <w:bookmarkStart w:id="496" w:name="_Toc514814130"/>
      <w:bookmarkStart w:id="497" w:name="_Ref513729904"/>
      <w:r>
        <w:rPr>
          <w:sz w:val="28"/>
        </w:rPr>
        <w:t>Требования</w:t>
      </w:r>
      <w:bookmarkEnd w:id="493"/>
      <w:bookmarkEnd w:id="494"/>
      <w:bookmarkEnd w:id="495"/>
      <w:bookmarkEnd w:id="496"/>
      <w:bookmarkEnd w:id="497"/>
      <w:r>
        <w:rPr>
          <w:sz w:val="28"/>
        </w:rPr>
        <w:t xml:space="preserve"> к Участнику аукциона и к документам, подтверждающим соответствие Участника аукциона установленным требованиям</w:t>
      </w:r>
      <w:bookmarkEnd w:id="491"/>
      <w:bookmarkEnd w:id="492"/>
    </w:p>
    <w:tbl>
      <w:tblPr>
        <w:tblW w:w="10087"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666"/>
        <w:gridCol w:w="3097"/>
        <w:gridCol w:w="6324"/>
      </w:tblGrid>
      <w:tr>
        <w:trPr/>
        <w:tc>
          <w:tcPr>
            <w:tcW w:w="66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 xml:space="preserve">№ </w:t>
            </w:r>
            <w:r>
              <w:rPr>
                <w:b/>
              </w:rPr>
              <w:t>п/п</w:t>
            </w:r>
          </w:p>
        </w:tc>
        <w:tc>
          <w:tcPr>
            <w:tcW w:w="30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Требования к Участнику аукциона</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rPr>
            </w:pPr>
            <w:r>
              <w:rPr>
                <w:b/>
              </w:rPr>
              <w:t>Требования к документам, подтверждающим соответствие Участника аукциона установленным требованиям</w:t>
            </w:r>
          </w:p>
        </w:tc>
      </w:tr>
      <w:tr>
        <w:trPr/>
        <w:tc>
          <w:tcPr>
            <w:tcW w:w="666"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498" w:name="_Ref513735397"/>
            <w:bookmarkStart w:id="499" w:name="_Ref513735397"/>
            <w:bookmarkEnd w:id="499"/>
          </w:p>
        </w:tc>
        <w:tc>
          <w:tcPr>
            <w:tcW w:w="30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rPr>
            </w:pPr>
            <w:r>
              <w:rPr/>
              <w:t>Участник аукциона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u w:val="single"/>
              </w:rPr>
            </w:pPr>
            <w:bookmarkStart w:id="500" w:name="_Ref513814605"/>
            <w:r>
              <w:rPr>
                <w:b/>
                <w:u w:val="single"/>
              </w:rPr>
              <w:t>Участник – физическое лицо</w:t>
            </w:r>
            <w:bookmarkEnd w:id="500"/>
          </w:p>
          <w:p>
            <w:pPr>
              <w:pStyle w:val="Style25"/>
              <w:widowControl w:val="false"/>
              <w:numPr>
                <w:ilvl w:val="4"/>
                <w:numId w:val="56"/>
              </w:numPr>
              <w:tabs>
                <w:tab w:val="left" w:pos="1134" w:leader="none"/>
                <w:tab w:val="left" w:pos="4542" w:leader="none"/>
                <w:tab w:val="left" w:pos="4962" w:leader="none"/>
              </w:tabs>
              <w:ind w:left="715" w:hanging="567"/>
              <w:rPr>
                <w:b/>
              </w:rPr>
            </w:pPr>
            <w:r>
              <w:rPr/>
              <w:t>заверенные копии документов, удостоверяющих личность (все заполненные страницы);</w:t>
            </w:r>
          </w:p>
          <w:p>
            <w:pPr>
              <w:pStyle w:val="Style25"/>
              <w:widowControl w:val="false"/>
              <w:numPr>
                <w:ilvl w:val="4"/>
                <w:numId w:val="57"/>
              </w:numPr>
              <w:tabs>
                <w:tab w:val="left" w:pos="4542" w:leader="none"/>
                <w:tab w:val="left" w:pos="4962" w:leader="none"/>
              </w:tabs>
              <w:ind w:left="715" w:hanging="567"/>
              <w:rPr>
                <w:b/>
              </w:rPr>
            </w:pPr>
            <w:r>
              <w:rPr/>
              <w:t>заверенная копия свидетельства о присвоении ИНН (при наличии);</w:t>
            </w:r>
          </w:p>
          <w:p>
            <w:pPr>
              <w:pStyle w:val="Style25"/>
              <w:widowControl w:val="false"/>
              <w:numPr>
                <w:ilvl w:val="4"/>
                <w:numId w:val="58"/>
              </w:numPr>
              <w:tabs>
                <w:tab w:val="left" w:pos="4542" w:leader="none"/>
                <w:tab w:val="left" w:pos="4962" w:leader="none"/>
              </w:tabs>
              <w:ind w:left="715" w:hanging="567"/>
              <w:rPr>
                <w:b/>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25"/>
              <w:widowControl w:val="false"/>
              <w:numPr>
                <w:ilvl w:val="4"/>
                <w:numId w:val="59"/>
              </w:numPr>
              <w:tabs>
                <w:tab w:val="left" w:pos="4542" w:leader="none"/>
                <w:tab w:val="left" w:pos="4962" w:leader="none"/>
              </w:tabs>
              <w:ind w:left="715" w:hanging="567"/>
              <w:rPr>
                <w:b/>
              </w:rPr>
            </w:pPr>
            <w:r>
              <w:rPr/>
              <w:t>согласие антимонопольного органа на приобретение имущества, если это необходимо в соответствии с законодательством РФ.</w:t>
            </w:r>
          </w:p>
          <w:p>
            <w:pPr>
              <w:pStyle w:val="Normal"/>
              <w:widowControl w:val="false"/>
              <w:rPr>
                <w:b/>
                <w:u w:val="single"/>
              </w:rPr>
            </w:pPr>
            <w:r>
              <w:rPr>
                <w:b/>
                <w:u w:val="single"/>
              </w:rPr>
              <w:t>Участник – юридическое лицо (резидент РФ)</w:t>
            </w:r>
          </w:p>
          <w:p>
            <w:pPr>
              <w:pStyle w:val="Style25"/>
              <w:widowControl w:val="false"/>
              <w:numPr>
                <w:ilvl w:val="4"/>
                <w:numId w:val="60"/>
              </w:numPr>
              <w:tabs>
                <w:tab w:val="left" w:pos="4542" w:leader="none"/>
                <w:tab w:val="left" w:pos="4962" w:leader="none"/>
              </w:tabs>
              <w:ind w:left="715" w:hanging="567"/>
              <w:rPr>
                <w:b/>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25"/>
              <w:widowControl w:val="false"/>
              <w:numPr>
                <w:ilvl w:val="4"/>
                <w:numId w:val="61"/>
              </w:numPr>
              <w:tabs>
                <w:tab w:val="left" w:pos="4542" w:leader="none"/>
                <w:tab w:val="left" w:pos="4962" w:leader="none"/>
              </w:tabs>
              <w:ind w:left="715" w:hanging="567"/>
              <w:rPr>
                <w:b/>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25"/>
              <w:widowControl w:val="false"/>
              <w:numPr>
                <w:ilvl w:val="4"/>
                <w:numId w:val="62"/>
              </w:numPr>
              <w:tabs>
                <w:tab w:val="left" w:pos="4542" w:leader="none"/>
                <w:tab w:val="left" w:pos="4962" w:leader="none"/>
              </w:tabs>
              <w:ind w:left="715" w:hanging="567"/>
              <w:rPr>
                <w:b/>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25"/>
              <w:widowControl w:val="false"/>
              <w:numPr>
                <w:ilvl w:val="4"/>
                <w:numId w:val="63"/>
              </w:numPr>
              <w:tabs>
                <w:tab w:val="left" w:pos="4542" w:leader="none"/>
                <w:tab w:val="left" w:pos="4962" w:leader="none"/>
              </w:tabs>
              <w:ind w:left="715" w:hanging="567"/>
              <w:rPr>
                <w:b/>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25"/>
              <w:widowControl w:val="false"/>
              <w:numPr>
                <w:ilvl w:val="4"/>
                <w:numId w:val="64"/>
              </w:numPr>
              <w:tabs>
                <w:tab w:val="left" w:pos="4542" w:leader="none"/>
                <w:tab w:val="left" w:pos="4962" w:leader="none"/>
              </w:tabs>
              <w:ind w:left="715" w:hanging="567"/>
              <w:rPr>
                <w:b/>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25"/>
              <w:widowControl w:val="false"/>
              <w:numPr>
                <w:ilvl w:val="4"/>
                <w:numId w:val="65"/>
              </w:numPr>
              <w:tabs>
                <w:tab w:val="left" w:pos="4542" w:leader="none"/>
                <w:tab w:val="left" w:pos="4962" w:leader="none"/>
              </w:tabs>
              <w:ind w:left="715" w:hanging="567"/>
              <w:rPr>
                <w:b/>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25"/>
              <w:widowControl w:val="false"/>
              <w:numPr>
                <w:ilvl w:val="4"/>
                <w:numId w:val="66"/>
              </w:numPr>
              <w:tabs>
                <w:tab w:val="left" w:pos="4542" w:leader="none"/>
                <w:tab w:val="left" w:pos="4962" w:leader="none"/>
              </w:tabs>
              <w:ind w:left="715" w:hanging="567"/>
              <w:rPr>
                <w:b/>
              </w:rPr>
            </w:pPr>
            <w:r>
              <w:rPr/>
              <w:t>согласие антимонопольного органа на приобретение имущества, если это необходимо в соответствии с законодательством РФ.</w:t>
            </w:r>
          </w:p>
          <w:p>
            <w:pPr>
              <w:pStyle w:val="Style25"/>
              <w:widowControl w:val="false"/>
              <w:numPr>
                <w:ilvl w:val="0"/>
                <w:numId w:val="0"/>
              </w:numPr>
              <w:ind w:left="148" w:hanging="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25"/>
              <w:widowControl w:val="false"/>
              <w:numPr>
                <w:ilvl w:val="4"/>
                <w:numId w:val="67"/>
              </w:numPr>
              <w:tabs>
                <w:tab w:val="left" w:pos="4542" w:leader="none"/>
                <w:tab w:val="left" w:pos="4962" w:leader="none"/>
              </w:tabs>
              <w:ind w:left="715" w:hanging="567"/>
              <w:rPr>
                <w:b/>
              </w:rPr>
            </w:pPr>
            <w:r>
              <w:rPr/>
              <w:t>нотариально заверенная копия устава иностранного юридического лица;</w:t>
            </w:r>
          </w:p>
          <w:p>
            <w:pPr>
              <w:pStyle w:val="Style25"/>
              <w:widowControl w:val="false"/>
              <w:numPr>
                <w:ilvl w:val="4"/>
                <w:numId w:val="68"/>
              </w:numPr>
              <w:tabs>
                <w:tab w:val="left" w:pos="4542" w:leader="none"/>
                <w:tab w:val="left" w:pos="4962" w:leader="none"/>
              </w:tabs>
              <w:ind w:left="715" w:hanging="567"/>
              <w:rPr>
                <w:b/>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5"/>
              <w:widowControl w:val="false"/>
              <w:numPr>
                <w:ilvl w:val="4"/>
                <w:numId w:val="69"/>
              </w:numPr>
              <w:tabs>
                <w:tab w:val="left" w:pos="4542" w:leader="none"/>
                <w:tab w:val="left" w:pos="4962" w:leader="none"/>
              </w:tabs>
              <w:ind w:left="715" w:hanging="567"/>
              <w:rPr>
                <w:b/>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5"/>
              <w:widowControl w:val="false"/>
              <w:numPr>
                <w:ilvl w:val="4"/>
                <w:numId w:val="70"/>
              </w:numPr>
              <w:tabs>
                <w:tab w:val="left" w:pos="4542" w:leader="none"/>
                <w:tab w:val="left" w:pos="4962" w:leader="none"/>
              </w:tabs>
              <w:ind w:left="715" w:hanging="567"/>
              <w:rPr>
                <w:b/>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5"/>
              <w:widowControl w:val="false"/>
              <w:numPr>
                <w:ilvl w:val="4"/>
                <w:numId w:val="71"/>
              </w:numPr>
              <w:tabs>
                <w:tab w:val="left" w:pos="4542" w:leader="none"/>
                <w:tab w:val="left" w:pos="4962" w:leader="none"/>
              </w:tabs>
              <w:ind w:left="715" w:hanging="567"/>
              <w:rPr>
                <w:b/>
              </w:rPr>
            </w:pPr>
            <w:r>
              <w:rPr/>
              <w:t>согласие антимонопольного органа на приобретение имущества, если это необходимо в соответствии с законодательством РФ.</w:t>
            </w:r>
          </w:p>
          <w:p>
            <w:pPr>
              <w:pStyle w:val="Style25"/>
              <w:widowControl w:val="false"/>
              <w:numPr>
                <w:ilvl w:val="0"/>
                <w:numId w:val="0"/>
              </w:numPr>
              <w:ind w:left="148" w:hanging="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25"/>
              <w:widowControl w:val="false"/>
              <w:numPr>
                <w:ilvl w:val="4"/>
                <w:numId w:val="72"/>
              </w:numPr>
              <w:tabs>
                <w:tab w:val="left" w:pos="4542" w:leader="none"/>
                <w:tab w:val="left" w:pos="4962" w:leader="none"/>
              </w:tabs>
              <w:ind w:left="715" w:hanging="567"/>
              <w:rPr>
                <w:b/>
              </w:rPr>
            </w:pPr>
            <w:r>
              <w:rPr/>
              <w:t>нотариально заверенная копия устава иностранного юридического лица;</w:t>
            </w:r>
          </w:p>
          <w:p>
            <w:pPr>
              <w:pStyle w:val="Style25"/>
              <w:widowControl w:val="false"/>
              <w:numPr>
                <w:ilvl w:val="4"/>
                <w:numId w:val="73"/>
              </w:numPr>
              <w:tabs>
                <w:tab w:val="left" w:pos="4542" w:leader="none"/>
                <w:tab w:val="left" w:pos="4962" w:leader="none"/>
              </w:tabs>
              <w:ind w:left="715" w:hanging="567"/>
              <w:rPr>
                <w:b/>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25"/>
              <w:widowControl w:val="false"/>
              <w:numPr>
                <w:ilvl w:val="4"/>
                <w:numId w:val="74"/>
              </w:numPr>
              <w:tabs>
                <w:tab w:val="left" w:pos="4542" w:leader="none"/>
                <w:tab w:val="left" w:pos="4962" w:leader="none"/>
              </w:tabs>
              <w:ind w:left="715" w:hanging="567"/>
              <w:rPr>
                <w:b/>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25"/>
              <w:widowControl w:val="false"/>
              <w:numPr>
                <w:ilvl w:val="4"/>
                <w:numId w:val="75"/>
              </w:numPr>
              <w:tabs>
                <w:tab w:val="left" w:pos="4542" w:leader="none"/>
                <w:tab w:val="left" w:pos="4962" w:leader="none"/>
              </w:tabs>
              <w:ind w:left="715" w:hanging="567"/>
              <w:rPr>
                <w:b/>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25"/>
              <w:widowControl w:val="false"/>
              <w:numPr>
                <w:ilvl w:val="4"/>
                <w:numId w:val="76"/>
              </w:numPr>
              <w:tabs>
                <w:tab w:val="left" w:pos="4542" w:leader="none"/>
                <w:tab w:val="left" w:pos="4962" w:leader="none"/>
              </w:tabs>
              <w:ind w:left="715" w:hanging="567"/>
              <w:rPr>
                <w:b/>
              </w:rPr>
            </w:pPr>
            <w:r>
              <w:rPr/>
              <w:t>нотариально заверенная копия положения о филиале, представительстве и т.п. иностранного юридического лица;</w:t>
            </w:r>
          </w:p>
          <w:p>
            <w:pPr>
              <w:pStyle w:val="Style25"/>
              <w:widowControl w:val="false"/>
              <w:numPr>
                <w:ilvl w:val="4"/>
                <w:numId w:val="77"/>
              </w:numPr>
              <w:tabs>
                <w:tab w:val="left" w:pos="4542" w:leader="none"/>
                <w:tab w:val="left" w:pos="4962" w:leader="none"/>
              </w:tabs>
              <w:ind w:left="715" w:hanging="567"/>
              <w:rPr>
                <w:b/>
              </w:rPr>
            </w:pPr>
            <w:r>
              <w:rPr/>
              <w:t>нотариально заверенная копия свидетельства о постановке на учет в налоговом органе Российской Федерации;</w:t>
            </w:r>
          </w:p>
          <w:p>
            <w:pPr>
              <w:pStyle w:val="Style25"/>
              <w:widowControl w:val="false"/>
              <w:numPr>
                <w:ilvl w:val="4"/>
                <w:numId w:val="78"/>
              </w:numPr>
              <w:tabs>
                <w:tab w:val="left" w:pos="4542" w:leader="none"/>
                <w:tab w:val="left" w:pos="4962" w:leader="none"/>
              </w:tabs>
              <w:ind w:left="715" w:hanging="567"/>
              <w:rPr>
                <w:b/>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25"/>
              <w:widowControl w:val="false"/>
              <w:numPr>
                <w:ilvl w:val="4"/>
                <w:numId w:val="79"/>
              </w:numPr>
              <w:tabs>
                <w:tab w:val="left" w:pos="4542" w:leader="none"/>
                <w:tab w:val="left" w:pos="4962" w:leader="none"/>
              </w:tabs>
              <w:ind w:left="715" w:hanging="567"/>
              <w:rPr>
                <w:b/>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25"/>
              <w:widowControl w:val="false"/>
              <w:numPr>
                <w:ilvl w:val="4"/>
                <w:numId w:val="80"/>
              </w:numPr>
              <w:tabs>
                <w:tab w:val="left" w:pos="4542" w:leader="none"/>
                <w:tab w:val="left" w:pos="4962" w:leader="none"/>
              </w:tabs>
              <w:ind w:left="715" w:hanging="567"/>
              <w:rPr>
                <w:b/>
              </w:rPr>
            </w:pPr>
            <w:r>
              <w:rPr/>
              <w:t>согласие антимонопольного органа на приобретение имущества, если это необходимо в соответствии с законодательством РФ.</w:t>
            </w:r>
          </w:p>
          <w:p>
            <w:pPr>
              <w:pStyle w:val="Style25"/>
              <w:widowControl w:val="false"/>
              <w:numPr>
                <w:ilvl w:val="0"/>
                <w:numId w:val="0"/>
              </w:numPr>
              <w:ind w:left="148" w:hanging="0"/>
              <w:rPr>
                <w:b/>
                <w:u w:val="single"/>
              </w:rPr>
            </w:pPr>
            <w:r>
              <w:rPr>
                <w:b/>
                <w:u w:val="single"/>
              </w:rPr>
              <w:t>Участник – индивидуальный предприниматель</w:t>
            </w:r>
          </w:p>
          <w:p>
            <w:pPr>
              <w:pStyle w:val="Style25"/>
              <w:widowControl w:val="false"/>
              <w:numPr>
                <w:ilvl w:val="4"/>
                <w:numId w:val="81"/>
              </w:numPr>
              <w:tabs>
                <w:tab w:val="left" w:pos="4542" w:leader="none"/>
                <w:tab w:val="left" w:pos="4962" w:leader="none"/>
              </w:tabs>
              <w:ind w:left="715" w:hanging="567"/>
              <w:rPr>
                <w:b/>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25"/>
              <w:widowControl w:val="false"/>
              <w:numPr>
                <w:ilvl w:val="4"/>
                <w:numId w:val="82"/>
              </w:numPr>
              <w:tabs>
                <w:tab w:val="left" w:pos="4542" w:leader="none"/>
                <w:tab w:val="left" w:pos="4962" w:leader="none"/>
              </w:tabs>
              <w:ind w:left="715" w:hanging="567"/>
              <w:rPr>
                <w:b/>
              </w:rPr>
            </w:pPr>
            <w:r>
              <w:rPr/>
              <w:t>заверенная копия свидетельства о регистрации физического лица в качестве индивидуального предпринимателя;</w:t>
            </w:r>
          </w:p>
          <w:p>
            <w:pPr>
              <w:pStyle w:val="Style25"/>
              <w:widowControl w:val="false"/>
              <w:numPr>
                <w:ilvl w:val="4"/>
                <w:numId w:val="83"/>
              </w:numPr>
              <w:tabs>
                <w:tab w:val="left" w:pos="4542" w:leader="none"/>
                <w:tab w:val="left" w:pos="4962" w:leader="none"/>
              </w:tabs>
              <w:ind w:left="715" w:hanging="567"/>
              <w:rPr>
                <w:b/>
              </w:rPr>
            </w:pPr>
            <w:r>
              <w:rPr/>
              <w:t>заверенная копия документа, удостоверяющего личность (все заполненные страницы);</w:t>
            </w:r>
          </w:p>
          <w:p>
            <w:pPr>
              <w:pStyle w:val="Style25"/>
              <w:widowControl w:val="false"/>
              <w:numPr>
                <w:ilvl w:val="4"/>
                <w:numId w:val="84"/>
              </w:numPr>
              <w:tabs>
                <w:tab w:val="left" w:pos="4542" w:leader="none"/>
                <w:tab w:val="left" w:pos="4962" w:leader="none"/>
              </w:tabs>
              <w:ind w:left="715" w:hanging="567"/>
              <w:rPr>
                <w:b/>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25"/>
              <w:widowControl w:val="false"/>
              <w:numPr>
                <w:ilvl w:val="4"/>
                <w:numId w:val="85"/>
              </w:numPr>
              <w:tabs>
                <w:tab w:val="left" w:pos="4542" w:leader="none"/>
                <w:tab w:val="left" w:pos="4962" w:leader="none"/>
              </w:tabs>
              <w:ind w:left="715" w:hanging="567"/>
              <w:rPr>
                <w:b/>
              </w:rPr>
            </w:pPr>
            <w:r>
              <w:rPr/>
              <w:t>согласие антимонопольного органа на приобретение имущества, если это необходимо в соответствии с законодательством РФ.</w:t>
            </w:r>
          </w:p>
        </w:tc>
      </w:tr>
      <w:tr>
        <w:trPr/>
        <w:tc>
          <w:tcPr>
            <w:tcW w:w="666"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01" w:name="_Ref514624336"/>
            <w:bookmarkStart w:id="502" w:name="_Ref514624336"/>
            <w:bookmarkEnd w:id="502"/>
          </w:p>
        </w:tc>
        <w:tc>
          <w:tcPr>
            <w:tcW w:w="309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b/>
              </w:rPr>
            </w:pPr>
            <w:r>
              <w:rPr/>
              <w:t>Участник аукциона не должен находиться в процессе ликвидации (для юридических лиц и индивидуальных предпринимателей); экономическая деятельность Участника аукциона не должна быть приостановлена; в отношении Участника аукциона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аукциона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 xml:space="preserve"> Документации о продаже).</w:t>
            </w:r>
          </w:p>
        </w:tc>
      </w:tr>
    </w:tbl>
    <w:p>
      <w:pPr>
        <w:pStyle w:val="Normal"/>
        <w:rPr>
          <w:b/>
        </w:rPr>
      </w:pPr>
      <w:bookmarkStart w:id="503" w:name="_Toc515659391"/>
      <w:bookmarkStart w:id="504" w:name="_Toc515659399"/>
      <w:bookmarkEnd w:id="503"/>
      <w:bookmarkEnd w:id="504"/>
      <w:r>
        <w:rPr/>
        <w:t>В случае если по каким-либо причинам Участник аукциона не может предоставить какой-либо из требуемых документов, он может в составе заявки приложить составленную в произвольной форме справку, объясняющую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аукциона обязанности по предоставлению требуемого документа).</w:t>
      </w:r>
    </w:p>
    <w:p>
      <w:pPr>
        <w:pStyle w:val="Heading1"/>
        <w:numPr>
          <w:ilvl w:val="0"/>
          <w:numId w:val="0"/>
        </w:numPr>
        <w:ind w:left="1134" w:hanging="0"/>
        <w:jc w:val="right"/>
        <w:rPr>
          <w:rFonts w:ascii="Times New Roman" w:hAnsi="Times New Roman"/>
          <w:b w:val="false"/>
          <w:sz w:val="24"/>
          <w:szCs w:val="24"/>
        </w:rPr>
      </w:pPr>
      <w:bookmarkStart w:id="505" w:name="_Ref526935885"/>
      <w:bookmarkStart w:id="506" w:name="_Toc43469264"/>
      <w:r>
        <w:rPr>
          <w:rFonts w:ascii="Times New Roman" w:hAnsi="Times New Roman"/>
          <w:b w:val="false"/>
          <w:sz w:val="24"/>
          <w:szCs w:val="24"/>
        </w:rPr>
        <w:t>Приложение № 4</w:t>
      </w:r>
      <w:bookmarkEnd w:id="505"/>
      <w:bookmarkEnd w:id="506"/>
    </w:p>
    <w:p>
      <w:pPr>
        <w:pStyle w:val="Style23"/>
        <w:numPr>
          <w:ilvl w:val="0"/>
          <w:numId w:val="0"/>
        </w:numPr>
        <w:ind w:left="0" w:hanging="0"/>
        <w:rPr>
          <w:b/>
        </w:rPr>
      </w:pPr>
      <w:r>
        <w:rPr>
          <w:b/>
        </w:rPr>
      </w:r>
    </w:p>
    <w:p>
      <w:pPr>
        <w:pStyle w:val="Style23"/>
        <w:numPr>
          <w:ilvl w:val="0"/>
          <w:numId w:val="0"/>
        </w:numPr>
        <w:ind w:left="0" w:hanging="0"/>
        <w:jc w:val="center"/>
        <w:rPr>
          <w:b/>
        </w:rPr>
      </w:pPr>
      <w:r>
        <w:rPr>
          <w:b/>
          <w:sz w:val="28"/>
          <w:szCs w:val="28"/>
        </w:rPr>
        <w:t>СОСТАВ ЗАЯВКИ НА УЧАСТИЕ В АУКЦИОНЕ</w:t>
      </w:r>
    </w:p>
    <w:p>
      <w:pPr>
        <w:pStyle w:val="Style23"/>
        <w:numPr>
          <w:ilvl w:val="0"/>
          <w:numId w:val="0"/>
        </w:numPr>
        <w:ind w:left="0" w:hanging="0"/>
        <w:rPr>
          <w:b/>
        </w:rPr>
      </w:pPr>
      <w:r>
        <w:rPr>
          <w:b/>
        </w:rPr>
      </w:r>
    </w:p>
    <w:p>
      <w:pPr>
        <w:pStyle w:val="Style23"/>
        <w:numPr>
          <w:ilvl w:val="0"/>
          <w:numId w:val="0"/>
        </w:numPr>
        <w:ind w:left="0" w:hanging="0"/>
        <w:rPr>
          <w:b/>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xml:space="preserve"> Документации о продаже, а также иных условий Документации о продаже:</w:t>
      </w:r>
    </w:p>
    <w:p>
      <w:pPr>
        <w:pStyle w:val="Heading2"/>
        <w:keepNext w:val="false"/>
        <w:widowControl w:val="false"/>
        <w:numPr>
          <w:ilvl w:val="0"/>
          <w:numId w:val="0"/>
        </w:numPr>
        <w:tabs>
          <w:tab w:val="clear" w:pos="567"/>
          <w:tab w:val="left" w:pos="6663" w:leader="none"/>
        </w:tabs>
        <w:suppressAutoHyphens w:val="false"/>
        <w:ind w:left="0" w:hanging="0"/>
        <w:jc w:val="both"/>
        <w:rPr>
          <w:sz w:val="26"/>
        </w:rPr>
      </w:pPr>
      <w:bookmarkStart w:id="507" w:name="_Toc43469265"/>
      <w:bookmarkStart w:id="508" w:name="_Ref524092269"/>
      <w:r>
        <w:rPr>
          <w:sz w:val="26"/>
        </w:rPr>
        <w:t>Состав заявки на участие в аукционе</w:t>
      </w:r>
      <w:bookmarkEnd w:id="508"/>
      <w:r>
        <w:rPr>
          <w:sz w:val="26"/>
        </w:rPr>
        <w:t>:</w:t>
      </w:r>
      <w:bookmarkEnd w:id="507"/>
    </w:p>
    <w:tbl>
      <w:tblPr>
        <w:tblW w:w="10206"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851"/>
        <w:gridCol w:w="9354"/>
      </w:tblGrid>
      <w:tr>
        <w:trPr>
          <w:trHeight w:val="322" w:hRule="atLeast"/>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sz w:val="24"/>
                <w:szCs w:val="24"/>
              </w:rPr>
            </w:pPr>
            <w:r>
              <w:rPr>
                <w:bCs/>
                <w:sz w:val="24"/>
                <w:szCs w:val="24"/>
              </w:rPr>
              <w:t xml:space="preserve">№ </w:t>
            </w:r>
            <w:r>
              <w:rPr>
                <w:bCs/>
                <w:sz w:val="24"/>
                <w:szCs w:val="24"/>
              </w:rPr>
              <w:t>п/п</w:t>
            </w:r>
          </w:p>
        </w:tc>
        <w:tc>
          <w:tcPr>
            <w:tcW w:w="93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sz w:val="24"/>
                <w:szCs w:val="24"/>
              </w:rPr>
            </w:pPr>
            <w:r>
              <w:rPr>
                <w:bCs/>
                <w:iCs/>
                <w:sz w:val="24"/>
                <w:szCs w:val="24"/>
              </w:rPr>
              <w:t>Наименование документа</w:t>
            </w:r>
          </w:p>
        </w:tc>
      </w:tr>
      <w:tr>
        <w:trPr>
          <w:trHeight w:val="322" w:hRule="atLeast"/>
        </w:trPr>
        <w:tc>
          <w:tcPr>
            <w:tcW w:w="8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3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8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3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85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35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rPr>
            </w:pPr>
            <w:r>
              <w:rPr/>
              <w:t>Документы, подтверждающие соответствие Участника обязательным требованиям Документации о продаже (Приложение 3).</w:t>
            </w:r>
          </w:p>
        </w:tc>
      </w:tr>
    </w:tbl>
    <w:p>
      <w:pPr>
        <w:pStyle w:val="Heading1"/>
        <w:keepNext w:val="false"/>
        <w:keepLines w:val="false"/>
        <w:numPr>
          <w:ilvl w:val="0"/>
          <w:numId w:val="0"/>
        </w:numPr>
        <w:ind w:left="1134" w:hanging="1134"/>
        <w:jc w:val="right"/>
        <w:rPr>
          <w:rFonts w:ascii="Times New Roman" w:hAnsi="Times New Roman"/>
          <w:b w:val="false"/>
          <w:sz w:val="24"/>
          <w:szCs w:val="24"/>
        </w:rPr>
      </w:pPr>
      <w:bookmarkStart w:id="509" w:name="_Toc43469266"/>
      <w:bookmarkStart w:id="510" w:name="_Toc514455649"/>
      <w:bookmarkStart w:id="511" w:name="_Toc516961409"/>
      <w:bookmarkStart w:id="512" w:name="_Toc516961555"/>
      <w:bookmarkStart w:id="513" w:name="_Toc516980616"/>
      <w:bookmarkStart w:id="514" w:name="_Ref384117211"/>
      <w:bookmarkStart w:id="515" w:name="_Ref384118604"/>
      <w:bookmarkStart w:id="516" w:name="_Ref468102866"/>
      <w:bookmarkEnd w:id="510"/>
      <w:bookmarkEnd w:id="511"/>
      <w:bookmarkEnd w:id="512"/>
      <w:bookmarkEnd w:id="513"/>
      <w:bookmarkEnd w:id="514"/>
      <w:bookmarkEnd w:id="515"/>
      <w:bookmarkEnd w:id="516"/>
      <w:r>
        <w:rPr>
          <w:rFonts w:ascii="Times New Roman" w:hAnsi="Times New Roman"/>
          <w:b w:val="false"/>
          <w:sz w:val="24"/>
          <w:szCs w:val="24"/>
        </w:rPr>
        <w:t>Приложение № 5</w:t>
      </w:r>
      <w:bookmarkEnd w:id="509"/>
    </w:p>
    <w:p>
      <w:pPr>
        <w:pStyle w:val="Heading1"/>
        <w:keepNext w:val="false"/>
        <w:keepLines w:val="false"/>
        <w:pageBreakBefore w:val="false"/>
        <w:numPr>
          <w:ilvl w:val="0"/>
          <w:numId w:val="0"/>
        </w:numPr>
        <w:ind w:left="1134" w:hanging="1134"/>
        <w:jc w:val="center"/>
        <w:rPr>
          <w:rFonts w:ascii="Times New Roman" w:hAnsi="Times New Roman"/>
          <w:sz w:val="28"/>
          <w:szCs w:val="28"/>
        </w:rPr>
      </w:pPr>
      <w:bookmarkStart w:id="517" w:name="_Toc43469267"/>
      <w:r>
        <w:rPr>
          <w:rFonts w:ascii="Times New Roman" w:hAnsi="Times New Roman"/>
          <w:sz w:val="28"/>
          <w:szCs w:val="28"/>
        </w:rPr>
        <w:t>ОТБОРОЧНЫЕ КРИТЕРИИ РАССМОТРЕНИЯ ЗАЯВОК</w:t>
      </w:r>
      <w:bookmarkEnd w:id="517"/>
    </w:p>
    <w:p>
      <w:pPr>
        <w:pStyle w:val="Normal"/>
        <w:spacing w:before="120" w:after="120"/>
        <w:rPr>
          <w:i/>
          <w:i/>
          <w:shd w:fill="FFFF99" w:val="clear"/>
        </w:rPr>
      </w:pPr>
      <w:r>
        <w:rPr>
          <w:i/>
          <w:shd w:fill="FFFF99" w:val="clear"/>
        </w:rPr>
      </w:r>
    </w:p>
    <w:tbl>
      <w:tblPr>
        <w:tblW w:w="10065"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1134"/>
        <w:gridCol w:w="7088"/>
        <w:gridCol w:w="1843"/>
      </w:tblGrid>
      <w:tr>
        <w:trPr>
          <w:trHeight w:val="276" w:hRule="atLeast"/>
          <w:cantSplit w:val="true"/>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ind w:left="-105" w:right="-114" w:hanging="0"/>
              <w:jc w:val="center"/>
              <w:rPr>
                <w:bCs/>
                <w:sz w:val="20"/>
                <w:szCs w:val="20"/>
              </w:rPr>
            </w:pPr>
            <w:r>
              <w:rPr>
                <w:bCs/>
                <w:sz w:val="20"/>
                <w:szCs w:val="20"/>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Cs/>
                <w:sz w:val="20"/>
                <w:szCs w:val="20"/>
              </w:rPr>
            </w:pPr>
            <w:r>
              <w:rPr>
                <w:bCs/>
                <w:sz w:val="20"/>
                <w:szCs w:val="20"/>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ind w:left="-110" w:right="-113" w:hanging="0"/>
              <w:jc w:val="center"/>
              <w:rPr>
                <w:bCs/>
                <w:sz w:val="20"/>
                <w:szCs w:val="20"/>
              </w:rPr>
            </w:pPr>
            <w:r>
              <w:rPr>
                <w:bCs/>
                <w:sz w:val="20"/>
                <w:szCs w:val="20"/>
              </w:rPr>
              <w:t>Номер пункта Документации о продаже</w:t>
            </w:r>
          </w:p>
        </w:tc>
      </w:tr>
      <w:tr>
        <w:trPr>
          <w:trHeight w:val="419" w:hRule="atLeast"/>
          <w:cantSplit w:val="true"/>
        </w:trPr>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left"/>
              <w:rPr>
                <w:b/>
                <w:bCs/>
                <w:sz w:val="20"/>
              </w:rPr>
            </w:pPr>
            <w:r>
              <w:rPr>
                <w:b/>
                <w:bCs/>
                <w:sz w:val="20"/>
              </w:rPr>
            </w:r>
          </w:p>
        </w:tc>
        <w:tc>
          <w:tcPr>
            <w:tcW w:w="70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left"/>
              <w:rPr>
                <w:b/>
                <w:bCs/>
                <w:i/>
                <w:i/>
                <w:iCs/>
                <w:sz w:val="20"/>
              </w:rPr>
            </w:pPr>
            <w:r>
              <w:rPr>
                <w:b/>
                <w:bCs/>
                <w:i/>
                <w:iCs/>
                <w:sz w:val="20"/>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left"/>
              <w:rPr>
                <w:b/>
                <w:bCs/>
                <w:sz w:val="24"/>
                <w:szCs w:val="24"/>
              </w:rPr>
            </w:pPr>
            <w:r>
              <w:rPr>
                <w:b/>
                <w:bCs/>
                <w:sz w:val="24"/>
                <w:szCs w:val="24"/>
              </w:rPr>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4"/>
                <w:szCs w:val="24"/>
              </w:rPr>
            </w:pPr>
            <w:r>
              <w:rPr>
                <w:sz w:val="24"/>
                <w:szCs w:val="24"/>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rPr>
                <w:rFonts w:eastAsia="MS Mincho"/>
                <w:sz w:val="24"/>
                <w:szCs w:val="24"/>
              </w:rPr>
            </w:pPr>
            <w:r>
              <w:rPr>
                <w:b/>
                <w:bCs/>
                <w:sz w:val="24"/>
                <w:szCs w:val="24"/>
              </w:rPr>
              <w:t>Состав, содержание и правильность оформления заявки</w:t>
            </w:r>
            <w:r>
              <w:rPr>
                <w:rFonts w:eastAsia="MS Mincho"/>
                <w:b/>
                <w:sz w:val="24"/>
                <w:szCs w:val="24"/>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Cs/>
                <w:sz w:val="24"/>
                <w:szCs w:val="24"/>
              </w:rPr>
            </w:pPr>
            <w:r>
              <w:rPr>
                <w:b/>
                <w:bCs/>
                <w:sz w:val="24"/>
                <w:szCs w:val="24"/>
              </w:rPr>
              <w:t>--</w:t>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1"/>
              </w:numPr>
              <w:tabs>
                <w:tab w:val="clear" w:pos="567"/>
                <w:tab w:val="left" w:pos="171" w:leader="none"/>
              </w:tabs>
              <w:spacing w:before="120" w:after="0"/>
              <w:ind w:left="0" w:hanging="0"/>
              <w:jc w:val="center"/>
              <w:rPr>
                <w:sz w:val="24"/>
                <w:szCs w:val="24"/>
              </w:rPr>
            </w:pPr>
            <w:r>
              <w:rPr>
                <w:sz w:val="24"/>
                <w:szCs w:val="24"/>
              </w:rPr>
            </w:r>
          </w:p>
        </w:tc>
        <w:tc>
          <w:tcPr>
            <w:tcW w:w="7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rFonts w:eastAsia="MS Mincho"/>
                <w:sz w:val="24"/>
                <w:szCs w:val="24"/>
              </w:rPr>
            </w:pPr>
            <w:r>
              <w:rPr>
                <w:rFonts w:eastAsia="MS Mincho"/>
                <w:sz w:val="24"/>
                <w:szCs w:val="24"/>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том числе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sz w:val="24"/>
                <w:szCs w:val="24"/>
              </w:rPr>
            </w:pPr>
            <w:r>
              <w:rPr>
                <w:sz w:val="24"/>
                <w:szCs w:val="24"/>
              </w:rPr>
              <w:t>подраздел 5.5./ пункт 7.25.5.1</w:t>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1"/>
              </w:numPr>
              <w:spacing w:before="120" w:after="0"/>
              <w:ind w:left="0" w:hanging="0"/>
              <w:jc w:val="center"/>
              <w:rPr>
                <w:sz w:val="24"/>
                <w:szCs w:val="24"/>
              </w:rPr>
            </w:pPr>
            <w:r>
              <w:rPr>
                <w:sz w:val="24"/>
                <w:szCs w:val="24"/>
              </w:rPr>
            </w:r>
          </w:p>
        </w:tc>
        <w:tc>
          <w:tcPr>
            <w:tcW w:w="7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rFonts w:eastAsia="MS Mincho"/>
                <w:sz w:val="24"/>
                <w:szCs w:val="24"/>
              </w:rPr>
            </w:pPr>
            <w:r>
              <w:rPr>
                <w:rFonts w:eastAsia="MS Mincho"/>
                <w:sz w:val="24"/>
                <w:szCs w:val="24"/>
              </w:rPr>
              <w:t>Соответствие Заявки на участие в аукционе, в том числе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sz w:val="24"/>
                <w:szCs w:val="24"/>
              </w:rPr>
            </w:pPr>
            <w:r>
              <w:rPr>
                <w:sz w:val="24"/>
                <w:szCs w:val="24"/>
              </w:rPr>
              <w:t xml:space="preserve">подраздел 5.5./ пункты </w:t>
            </w:r>
            <w:r>
              <w:rPr>
                <w:sz w:val="24"/>
                <w:szCs w:val="24"/>
              </w:rPr>
              <w:fldChar w:fldCharType="begin"/>
            </w:r>
            <w:r>
              <w:rPr>
                <w:sz w:val="24"/>
                <w:szCs w:val="24"/>
              </w:rPr>
              <w:instrText xml:space="preserve"> REF _Ref56233643 \r \h </w:instrText>
            </w:r>
            <w:r>
              <w:rPr>
                <w:sz w:val="24"/>
                <w:szCs w:val="24"/>
              </w:rPr>
              <w:fldChar w:fldCharType="separate"/>
            </w:r>
            <w:r>
              <w:rPr>
                <w:sz w:val="24"/>
                <w:szCs w:val="24"/>
              </w:rPr>
              <w:t>5.5.2</w:t>
            </w:r>
            <w:r>
              <w:rPr>
                <w:sz w:val="24"/>
                <w:szCs w:val="24"/>
              </w:rPr>
              <w:fldChar w:fldCharType="end"/>
            </w:r>
            <w:r>
              <w:rPr>
                <w:sz w:val="24"/>
                <w:szCs w:val="24"/>
              </w:rPr>
              <w:t xml:space="preserve"> – </w:t>
            </w:r>
            <w:r>
              <w:rPr>
                <w:sz w:val="24"/>
                <w:szCs w:val="24"/>
              </w:rPr>
              <w:fldChar w:fldCharType="begin"/>
            </w:r>
            <w:r>
              <w:rPr>
                <w:sz w:val="24"/>
                <w:szCs w:val="24"/>
              </w:rPr>
              <w:instrText xml:space="preserve"> REF _Ref514621956 \r \h </w:instrText>
            </w:r>
            <w:r>
              <w:rPr>
                <w:sz w:val="24"/>
                <w:szCs w:val="24"/>
              </w:rPr>
              <w:fldChar w:fldCharType="separate"/>
            </w:r>
            <w:r>
              <w:rPr>
                <w:sz w:val="24"/>
                <w:szCs w:val="24"/>
              </w:rPr>
              <w:t>5.5.4</w:t>
            </w:r>
            <w:r>
              <w:rPr>
                <w:sz w:val="24"/>
                <w:szCs w:val="24"/>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1"/>
              </w:numPr>
              <w:spacing w:before="120" w:after="0"/>
              <w:ind w:left="0" w:hanging="0"/>
              <w:jc w:val="center"/>
              <w:rPr>
                <w:sz w:val="24"/>
                <w:szCs w:val="24"/>
              </w:rPr>
            </w:pPr>
            <w:r>
              <w:rPr>
                <w:sz w:val="24"/>
                <w:szCs w:val="24"/>
              </w:rPr>
            </w:r>
          </w:p>
        </w:tc>
        <w:tc>
          <w:tcPr>
            <w:tcW w:w="708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rFonts w:eastAsia="MS Mincho"/>
                <w:sz w:val="24"/>
                <w:szCs w:val="24"/>
              </w:rPr>
            </w:pPr>
            <w:r>
              <w:rPr>
                <w:sz w:val="24"/>
                <w:szCs w:val="24"/>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sz w:val="24"/>
                <w:szCs w:val="24"/>
              </w:rPr>
            </w:pPr>
            <w:r>
              <w:rPr>
                <w:sz w:val="24"/>
                <w:szCs w:val="24"/>
              </w:rPr>
              <w:t xml:space="preserve">Подраздел 5.5./подпункт </w:t>
            </w:r>
            <w:r>
              <w:rPr>
                <w:sz w:val="24"/>
                <w:szCs w:val="24"/>
              </w:rPr>
              <w:fldChar w:fldCharType="begin"/>
            </w:r>
            <w:r>
              <w:rPr>
                <w:sz w:val="24"/>
                <w:szCs w:val="24"/>
              </w:rPr>
              <w:instrText xml:space="preserve"> REF _Ref515979979 \r \h </w:instrText>
            </w:r>
            <w:r>
              <w:rPr>
                <w:sz w:val="24"/>
                <w:szCs w:val="24"/>
              </w:rPr>
              <w:fldChar w:fldCharType="separate"/>
            </w:r>
            <w:r>
              <w:rPr>
                <w:sz w:val="24"/>
                <w:szCs w:val="24"/>
              </w:rPr>
              <w:t>5.5.1.3</w:t>
            </w:r>
            <w:r>
              <w:rPr>
                <w:sz w:val="24"/>
                <w:szCs w:val="24"/>
              </w:rPr>
              <w:fldChar w:fldCharType="end"/>
            </w:r>
          </w:p>
        </w:tc>
      </w:tr>
    </w:tbl>
    <w:p>
      <w:pPr>
        <w:pStyle w:val="Heading1"/>
        <w:keepNext w:val="false"/>
        <w:keepLines w:val="false"/>
        <w:pageBreakBefore w:val="false"/>
        <w:numPr>
          <w:ilvl w:val="0"/>
          <w:numId w:val="0"/>
        </w:numPr>
        <w:spacing w:before="480" w:after="240"/>
        <w:ind w:left="0" w:hanging="0"/>
        <w:rPr>
          <w:rFonts w:ascii="Times New Roman" w:hAnsi="Times New Roman"/>
          <w:sz w:val="28"/>
          <w:szCs w:val="28"/>
        </w:rPr>
      </w:pPr>
      <w:r>
        <w:rPr/>
      </w:r>
    </w:p>
    <w:sectPr>
      <w:footerReference w:type="default" r:id="rId14"/>
      <w:footerReference w:type="first" r:id="rId15"/>
      <w:type w:val="nextPage"/>
      <w:pgSz w:w="11906" w:h="16838"/>
      <w:pgMar w:left="1134" w:right="567" w:gutter="0" w:header="0" w:top="1134" w:footer="0"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roman"/>
    <w:pitch w:val="variable"/>
  </w:font>
  <w:font w:name="Geneva CY">
    <w:charset w:val="01"/>
    <w:family w:val="roman"/>
    <w:pitch w:val="variable"/>
  </w:font>
  <w:font w:name="Verdana">
    <w:charset w:val="01"/>
    <w:family w:val="roman"/>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49</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49</w:t>
    </w:r>
    <w:r>
      <w:rPr>
        <w:sz w:val="24"/>
        <w:i/>
        <w:szCs w:val="24"/>
      </w:rPr>
      <w:fldChar w:fldCharType="end"/>
    </w:r>
  </w:p>
  <w:p>
    <w:pPr>
      <w:pStyle w:val="Footer"/>
      <w:rPr/>
    </w:pPr>
    <w:r>
      <w:rPr/>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Normal"/>
      <w:tabs>
        <w:tab w:val="clear" w:pos="567"/>
        <w:tab w:val="right" w:pos="10260" w:leader="none"/>
      </w:tabs>
      <w:jc w:val="right"/>
      <w:rPr>
        <w:sz w:val="20"/>
      </w:rPr>
    </w:pP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49</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552"/>
        </w:tabs>
        <w:ind w:left="255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2">
    <w:lvl w:ilvl="0">
      <w:start w:val="1"/>
      <w:numFmt w:val="decimal"/>
      <w:lvlText w:val="%1."/>
      <w:lvlJc w:val="left"/>
      <w:pPr>
        <w:tabs>
          <w:tab w:val="num" w:pos="0"/>
        </w:tabs>
        <w:ind w:left="945" w:hanging="945"/>
      </w:pPr>
      <w:rPr>
        <w:rFonts w:ascii="Times New Roman" w:hAnsi="Times New Roman" w:cs="Times New Roman"/>
      </w:rPr>
    </w:lvl>
    <w:lvl w:ilvl="1">
      <w:start w:val="1"/>
      <w:numFmt w:val="decimal"/>
      <w:lvlText w:val="%1.%2."/>
      <w:lvlJc w:val="left"/>
      <w:pPr>
        <w:tabs>
          <w:tab w:val="num" w:pos="0"/>
        </w:tabs>
        <w:ind w:left="1485" w:hanging="945"/>
      </w:pPr>
      <w:rPr>
        <w:rFonts w:ascii="Times New Roman" w:hAnsi="Times New Roman" w:cs="Times New Roman"/>
      </w:rPr>
    </w:lvl>
    <w:lvl w:ilvl="2">
      <w:start w:val="1"/>
      <w:numFmt w:val="decimal"/>
      <w:lvlText w:val="%1.%2.%3."/>
      <w:lvlJc w:val="left"/>
      <w:pPr>
        <w:tabs>
          <w:tab w:val="num" w:pos="0"/>
        </w:tabs>
        <w:ind w:left="2025" w:hanging="945"/>
      </w:pPr>
      <w:rPr>
        <w:rFonts w:ascii="Times New Roman" w:hAnsi="Times New Roman" w:cs="Times New Roman"/>
      </w:rPr>
    </w:lvl>
    <w:lvl w:ilvl="3">
      <w:start w:val="1"/>
      <w:numFmt w:val="decimal"/>
      <w:lvlText w:val="%1.%2.%3.%4."/>
      <w:lvlJc w:val="left"/>
      <w:pPr>
        <w:tabs>
          <w:tab w:val="num" w:pos="0"/>
        </w:tabs>
        <w:ind w:left="2565" w:hanging="945"/>
      </w:pPr>
      <w:rPr/>
    </w:lvl>
    <w:lvl w:ilvl="4">
      <w:start w:val="1"/>
      <w:numFmt w:val="decimal"/>
      <w:lvlText w:val="%1.%2.%3.%4.%5."/>
      <w:lvlJc w:val="left"/>
      <w:pPr>
        <w:tabs>
          <w:tab w:val="num" w:pos="0"/>
        </w:tabs>
        <w:ind w:left="3240" w:hanging="1080"/>
      </w:pPr>
      <w:rPr/>
    </w:lvl>
    <w:lvl w:ilvl="5">
      <w:start w:val="1"/>
      <w:numFmt w:val="decimal"/>
      <w:lvlText w:val="%1.%2.%3.%4.%5.%6."/>
      <w:lvlJc w:val="left"/>
      <w:pPr>
        <w:tabs>
          <w:tab w:val="num" w:pos="0"/>
        </w:tabs>
        <w:ind w:left="3780" w:hanging="1080"/>
      </w:pPr>
      <w:rPr/>
    </w:lvl>
    <w:lvl w:ilvl="6">
      <w:start w:val="1"/>
      <w:numFmt w:val="decimal"/>
      <w:lvlText w:val="%1.%2.%3.%4.%5.%6.%7."/>
      <w:lvlJc w:val="left"/>
      <w:pPr>
        <w:tabs>
          <w:tab w:val="num" w:pos="0"/>
        </w:tabs>
        <w:ind w:left="4680" w:hanging="1440"/>
      </w:pPr>
      <w:rPr/>
    </w:lvl>
    <w:lvl w:ilvl="7">
      <w:start w:val="1"/>
      <w:numFmt w:val="decimal"/>
      <w:lvlText w:val="%1.%2.%3.%4.%5.%6.%7.%8."/>
      <w:lvlJc w:val="left"/>
      <w:pPr>
        <w:tabs>
          <w:tab w:val="num" w:pos="0"/>
        </w:tabs>
        <w:ind w:left="5220" w:hanging="1440"/>
      </w:pPr>
      <w:rPr/>
    </w:lvl>
    <w:lvl w:ilvl="8">
      <w:start w:val="1"/>
      <w:numFmt w:val="decimal"/>
      <w:lvlText w:val="%1.%2.%3.%4.%5.%6.%7.%8.%9."/>
      <w:lvlJc w:val="left"/>
      <w:pPr>
        <w:tabs>
          <w:tab w:val="num" w:pos="0"/>
        </w:tabs>
        <w:ind w:left="6120" w:hanging="1800"/>
      </w:pPr>
      <w:rPr/>
    </w:lvl>
  </w:abstractNum>
  <w:abstractNum w:abstractNumId="13">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360"/>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720"/>
        </w:tabs>
        <w:ind w:left="720" w:hanging="720"/>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1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51">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52">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53">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54">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55">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startOverride w:val="1"/>
    </w:lvlOverride>
  </w:num>
  <w:num w:numId="56">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57">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58">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59">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60">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lvlOverride w:ilvl="2">
      <w:startOverride w:val="1"/>
    </w:lvlOverride>
    <w:lvlOverride w:ilvl="3">
      <w:startOverride w:val="1"/>
    </w:lvlOverride>
    <w:lvlOverride w:ilvl="4">
      <w:lvl w:ilvl="4">
        <w:start w:val="1"/>
        <w:numFmt w:val="decimal"/>
        <w:lvlText w:val=""/>
        <w:lvlJc w:val="left"/>
        <w:pPr>
          <w:tabs>
            <w:tab w:val="num" w:pos="5104"/>
          </w:tabs>
          <w:ind w:left="5104" w:hanging="567"/>
        </w:pPr>
        <w:rPr>
          <w:i w:val="false"/>
          <w:b w:val="false"/>
        </w:rPr>
      </w:lvl>
      <w:startOverride w:val="1"/>
    </w:lvlOverride>
  </w:num>
  <w:num w:numId="61">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62">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63">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64">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65">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66">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67">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lvlOverride w:ilvl="2">
      <w:startOverride w:val="1"/>
    </w:lvlOverride>
    <w:lvlOverride w:ilvl="3">
      <w:startOverride w:val="1"/>
    </w:lvlOverride>
    <w:lvlOverride w:ilvl="4">
      <w:lvl w:ilvl="4">
        <w:start w:val="1"/>
        <w:numFmt w:val="decimal"/>
        <w:lvlText w:val=""/>
        <w:lvlJc w:val="left"/>
        <w:pPr>
          <w:tabs>
            <w:tab w:val="num" w:pos="5104"/>
          </w:tabs>
          <w:ind w:left="5104" w:hanging="567"/>
        </w:pPr>
        <w:rPr>
          <w:i w:val="false"/>
          <w:b w:val="false"/>
        </w:rPr>
      </w:lvl>
      <w:startOverride w:val="1"/>
    </w:lvlOverride>
  </w:num>
  <w:num w:numId="68">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69">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70">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71">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72">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lvlOverride w:ilvl="2">
      <w:startOverride w:val="1"/>
    </w:lvlOverride>
    <w:lvlOverride w:ilvl="3">
      <w:startOverride w:val="1"/>
    </w:lvlOverride>
    <w:lvlOverride w:ilvl="4">
      <w:lvl w:ilvl="4">
        <w:start w:val="1"/>
        <w:numFmt w:val="decimal"/>
        <w:lvlText w:val=""/>
        <w:lvlJc w:val="left"/>
        <w:pPr>
          <w:tabs>
            <w:tab w:val="num" w:pos="5104"/>
          </w:tabs>
          <w:ind w:left="5104" w:hanging="567"/>
        </w:pPr>
        <w:rPr>
          <w:i w:val="false"/>
          <w:b w:val="false"/>
        </w:rPr>
      </w:lvl>
      <w:startOverride w:val="1"/>
    </w:lvlOverride>
  </w:num>
  <w:num w:numId="73">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74">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75">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76">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77">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78">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79">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80">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81">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lvlOverride w:ilvl="2">
      <w:startOverride w:val="1"/>
    </w:lvlOverride>
    <w:lvlOverride w:ilvl="3">
      <w:startOverride w:val="1"/>
    </w:lvlOverride>
    <w:lvlOverride w:ilvl="4">
      <w:lvl w:ilvl="4">
        <w:start w:val="1"/>
        <w:numFmt w:val="decimal"/>
        <w:lvlText w:val=""/>
        <w:lvlJc w:val="left"/>
        <w:pPr>
          <w:tabs>
            <w:tab w:val="num" w:pos="5104"/>
          </w:tabs>
          <w:ind w:left="5104" w:hanging="567"/>
        </w:pPr>
        <w:rPr>
          <w:i w:val="false"/>
          <w:b w:val="false"/>
        </w:rPr>
      </w:lvl>
      <w:startOverride w:val="1"/>
    </w:lvlOverride>
  </w:num>
  <w:num w:numId="82">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83">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84">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 w:numId="85">
    <w:abstractNumId w:val="3"/>
    <w:lvlOverride w:ilvl="0">
      <w:startOverride w:val="1"/>
    </w:lvlOverride>
    <w:lvlOverride w:ilvl="1">
      <w:startOverride w:val="1"/>
    </w:lvlOverride>
    <w:lvlOverride w:ilvl="2">
      <w:lvl w:ilvl="2">
        <w:start w:val="1"/>
        <w:numFmt w:val="decimal"/>
        <w:lvlText w:val="%1.%2.%3"/>
        <w:lvlJc w:val="left"/>
        <w:pPr>
          <w:tabs>
            <w:tab w:val="num" w:pos="4962"/>
          </w:tabs>
          <w:ind w:left="4962" w:hanging="1134"/>
        </w:pPr>
        <w:rPr>
          <w:sz w:val="26"/>
          <w:i w:val="false"/>
          <w:b w:val="false"/>
          <w:szCs w:val="26"/>
        </w:rPr>
      </w:lvl>
    </w:lvlOverride>
  </w:num>
</w:numbering>
</file>

<file path=word/settings.xml><?xml version="1.0" encoding="utf-8"?>
<w:settings xmlns:w="http://schemas.openxmlformats.org/wordprocessingml/2006/main">
  <w:zoom w:percent="100"/>
  <w:trackRevisions/>
  <w:embedSystemFonts/>
  <w:defaultTabStop w:val="567"/>
  <w:autoHyphenation w:val="true"/>
  <w:doNotHyphenateCaps/>
  <w:hyphenationZone w:val="357"/>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0426c"/>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qFormat/>
    <w:rsid w:val="001b3984"/>
    <w:pPr>
      <w:keepNext w:val="true"/>
      <w:keepLines/>
      <w:pageBreakBefore/>
      <w:numPr>
        <w:ilvl w:val="0"/>
        <w:numId w:val="3"/>
      </w:numPr>
      <w:spacing w:before="480" w:after="240"/>
      <w:jc w:val="left"/>
      <w:outlineLvl w:val="0"/>
    </w:pPr>
    <w:rPr>
      <w:rFonts w:ascii="Arial" w:hAnsi="Arial"/>
      <w:b/>
      <w:kern w:val="2"/>
      <w:sz w:val="40"/>
    </w:rPr>
  </w:style>
  <w:style w:type="paragraph" w:styleId="Heading2">
    <w:name w:val="Heading 2"/>
    <w:basedOn w:val="Normal"/>
    <w:next w:val="Normal"/>
    <w:link w:val="2"/>
    <w:qFormat/>
    <w:rsid w:val="001b3984"/>
    <w:pPr>
      <w:keepNext w:val="true"/>
      <w:numPr>
        <w:ilvl w:val="1"/>
        <w:numId w:val="3"/>
      </w:numPr>
      <w:spacing w:before="360" w:after="120"/>
      <w:jc w:val="left"/>
      <w:outlineLvl w:val="1"/>
    </w:pPr>
    <w:rPr>
      <w:b/>
      <w:sz w:val="32"/>
    </w:rPr>
  </w:style>
  <w:style w:type="paragraph" w:styleId="Heading3">
    <w:name w:val="Heading 3"/>
    <w:basedOn w:val="Normal"/>
    <w:next w:val="Normal"/>
    <w:qFormat/>
    <w:pPr>
      <w:keepNext w:val="true"/>
      <w:numPr>
        <w:ilvl w:val="2"/>
        <w:numId w:val="1"/>
      </w:numPr>
      <w:spacing w:before="120" w:after="120"/>
      <w:jc w:val="left"/>
      <w:outlineLvl w:val="2"/>
    </w:pPr>
    <w:rPr>
      <w:b/>
    </w:rPr>
  </w:style>
  <w:style w:type="paragraph" w:styleId="Heading4">
    <w:name w:val="Heading 4"/>
    <w:basedOn w:val="Normal"/>
    <w:next w:val="Normal"/>
    <w:qFormat/>
    <w:pPr>
      <w:keepNext w:val="true"/>
      <w:numPr>
        <w:ilvl w:val="3"/>
        <w:numId w:val="1"/>
      </w:numPr>
      <w:tabs>
        <w:tab w:val="clear" w:pos="567"/>
        <w:tab w:val="left" w:pos="1134" w:leader="none"/>
      </w:tabs>
      <w:spacing w:before="240" w:after="120"/>
      <w:outlineLvl w:val="3"/>
    </w:pPr>
    <w:rPr>
      <w:b/>
      <w:i/>
    </w:rPr>
  </w:style>
  <w:style w:type="paragraph" w:styleId="Heading5">
    <w:name w:val="Heading 5"/>
    <w:basedOn w:val="Normal"/>
    <w:next w:val="Normal"/>
    <w:qFormat/>
    <w:pPr>
      <w:keepNext w:val="true"/>
      <w:numPr>
        <w:ilvl w:val="4"/>
        <w:numId w:val="2"/>
      </w:numPr>
      <w:tabs>
        <w:tab w:val="clear" w:pos="567"/>
        <w:tab w:val="left" w:pos="360" w:leader="none"/>
      </w:tabs>
      <w:spacing w:before="60" w:after="0"/>
      <w:ind w:left="0" w:hanging="0"/>
      <w:outlineLvl w:val="4"/>
    </w:pPr>
    <w:rPr>
      <w:b/>
    </w:rPr>
  </w:style>
  <w:style w:type="paragraph" w:styleId="Heading6">
    <w:name w:val="Heading 6"/>
    <w:basedOn w:val="Normal"/>
    <w:next w:val="Normal"/>
    <w:qFormat/>
    <w:pPr>
      <w:widowControl w:val="false"/>
      <w:numPr>
        <w:ilvl w:val="5"/>
        <w:numId w:val="2"/>
      </w:numPr>
      <w:tabs>
        <w:tab w:val="clear" w:pos="567"/>
        <w:tab w:val="left" w:pos="360" w:leader="none"/>
      </w:tabs>
      <w:spacing w:before="240" w:after="60"/>
      <w:ind w:left="0" w:hanging="0"/>
      <w:outlineLvl w:val="5"/>
    </w:pPr>
    <w:rPr>
      <w:b/>
      <w:sz w:val="22"/>
    </w:rPr>
  </w:style>
  <w:style w:type="paragraph" w:styleId="Heading7">
    <w:name w:val="Heading 7"/>
    <w:basedOn w:val="Normal"/>
    <w:next w:val="Normal"/>
    <w:qFormat/>
    <w:pPr>
      <w:widowControl w:val="false"/>
      <w:numPr>
        <w:ilvl w:val="6"/>
        <w:numId w:val="2"/>
      </w:numPr>
      <w:tabs>
        <w:tab w:val="clear" w:pos="567"/>
        <w:tab w:val="left" w:pos="360" w:leader="none"/>
      </w:tabs>
      <w:spacing w:before="240" w:after="60"/>
      <w:ind w:left="0" w:hanging="0"/>
      <w:outlineLvl w:val="6"/>
    </w:pPr>
    <w:rPr/>
  </w:style>
  <w:style w:type="paragraph" w:styleId="Heading8">
    <w:name w:val="Heading 8"/>
    <w:basedOn w:val="Normal"/>
    <w:next w:val="Normal"/>
    <w:qFormat/>
    <w:pPr>
      <w:widowControl w:val="false"/>
      <w:numPr>
        <w:ilvl w:val="7"/>
        <w:numId w:val="2"/>
      </w:numPr>
      <w:tabs>
        <w:tab w:val="clear" w:pos="567"/>
        <w:tab w:val="left" w:pos="360" w:leader="none"/>
      </w:tabs>
      <w:spacing w:before="240" w:after="60"/>
      <w:ind w:left="0" w:hanging="0"/>
      <w:outlineLvl w:val="7"/>
    </w:pPr>
    <w:rPr>
      <w:i/>
    </w:rPr>
  </w:style>
  <w:style w:type="paragraph" w:styleId="Heading9">
    <w:name w:val="Heading 9"/>
    <w:basedOn w:val="Normal"/>
    <w:next w:val="Normal"/>
    <w:qFormat/>
    <w:pPr>
      <w:widowControl w:val="false"/>
      <w:numPr>
        <w:ilvl w:val="8"/>
        <w:numId w:val="2"/>
      </w:numPr>
      <w:tabs>
        <w:tab w:val="clear" w:pos="567"/>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 w:customStyle="1">
    <w:name w:val="Заголовок 2 Знак"/>
    <w:qFormat/>
    <w:rsid w:val="001d54b3"/>
    <w:rPr>
      <w:b/>
      <w:sz w:val="32"/>
    </w:rPr>
  </w:style>
  <w:style w:type="character" w:styleId="Hyperlink" w:customStyle="1">
    <w:name w:val="Hyperlink"/>
    <w:uiPriority w:val="99"/>
    <w:rPr>
      <w:color w:val="0000FF"/>
      <w:u w:val="single"/>
    </w:rPr>
  </w:style>
  <w:style w:type="character" w:styleId="Style" w:customStyle="1">
    <w:name w:val="Символ сноски"/>
    <w:qFormat/>
    <w:rPr>
      <w:vertAlign w:val="superscript"/>
    </w:rPr>
  </w:style>
  <w:style w:type="character" w:styleId="FootnoteReference">
    <w:name w:val="Footnote Reference"/>
    <w:rPr>
      <w:vertAlign w:val="superscript"/>
    </w:rPr>
  </w:style>
  <w:style w:type="character" w:styleId="FootnoteCharacters" w:customStyle="1">
    <w:name w:val="Footnote Characters"/>
    <w:uiPriority w:val="99"/>
    <w:qFormat/>
    <w:rPr>
      <w:vertAlign w:val="superscript"/>
    </w:rPr>
  </w:style>
  <w:style w:type="character" w:styleId="Pagenumber">
    <w:name w:val="page number"/>
    <w:qFormat/>
    <w:rPr>
      <w:rFonts w:ascii="Times New Roman" w:hAnsi="Times New Roman"/>
      <w:sz w:val="20"/>
    </w:rPr>
  </w:style>
  <w:style w:type="character" w:styleId="FollowedHyperlink" w:customStyle="1">
    <w:name w:val="FollowedHyperlink"/>
    <w:rPr>
      <w:color w:val="800080"/>
      <w:u w:val="single"/>
    </w:rPr>
  </w:style>
  <w:style w:type="character" w:styleId="Style1" w:customStyle="1">
    <w:name w:val="Текст сноски Знак"/>
    <w:uiPriority w:val="99"/>
    <w:qFormat/>
    <w:rsid w:val="0006354d"/>
    <w:rPr/>
  </w:style>
  <w:style w:type="character" w:styleId="21" w:customStyle="1">
    <w:name w:val="Пункт Знак2"/>
    <w:link w:val="Style23"/>
    <w:qFormat/>
    <w:rsid w:val="007d5454"/>
    <w:rPr/>
  </w:style>
  <w:style w:type="character" w:styleId="Style2" w:customStyle="1">
    <w:name w:val="Пункт Знак"/>
    <w:qFormat/>
    <w:rPr>
      <w:sz w:val="28"/>
      <w:lang w:val="ru-RU" w:eastAsia="ru-RU" w:bidi="ar-SA"/>
    </w:rPr>
  </w:style>
  <w:style w:type="character" w:styleId="1" w:customStyle="1">
    <w:name w:val="Подпункт Знак1"/>
    <w:link w:val="Style24"/>
    <w:qFormat/>
    <w:rsid w:val="00c22e8e"/>
    <w:rPr/>
  </w:style>
  <w:style w:type="character" w:styleId="Style3" w:customStyle="1">
    <w:name w:val="Подпункт Знак"/>
    <w:qFormat/>
    <w:rPr>
      <w:sz w:val="28"/>
      <w:lang w:val="ru-RU" w:eastAsia="ru-RU" w:bidi="ar-SA"/>
    </w:rPr>
  </w:style>
  <w:style w:type="character" w:styleId="Style4" w:customStyle="1">
    <w:name w:val="комментарий"/>
    <w:qFormat/>
    <w:rsid w:val="001b3984"/>
    <w:rPr>
      <w:b/>
      <w:i/>
      <w:shd w:fill="FFFF99" w:val="clear"/>
    </w:rPr>
  </w:style>
  <w:style w:type="character" w:styleId="22" w:customStyle="1">
    <w:name w:val="Пункт2 Знак"/>
    <w:link w:val="24"/>
    <w:qFormat/>
    <w:rsid w:val="007e299e"/>
    <w:rPr>
      <w:b/>
    </w:rPr>
  </w:style>
  <w:style w:type="character" w:styleId="Style5" w:customStyle="1">
    <w:name w:val="Подподпункт Знак"/>
    <w:link w:val="Style25"/>
    <w:qFormat/>
    <w:locked/>
    <w:rsid w:val="001d54b3"/>
    <w:rPr/>
  </w:style>
  <w:style w:type="character" w:styleId="Style6" w:customStyle="1">
    <w:name w:val="Текст выноски Знак"/>
    <w:link w:val="BalloonText"/>
    <w:uiPriority w:val="99"/>
    <w:semiHidden/>
    <w:qFormat/>
    <w:locked/>
    <w:rsid w:val="00a633f7"/>
    <w:rPr>
      <w:rFonts w:ascii="Tahoma" w:hAnsi="Tahoma" w:cs="Tahoma"/>
      <w:sz w:val="16"/>
      <w:szCs w:val="16"/>
    </w:rPr>
  </w:style>
  <w:style w:type="character" w:styleId="Style7" w:customStyle="1">
    <w:name w:val="Основной текст Знак"/>
    <w:qFormat/>
    <w:rsid w:val="009b632e"/>
    <w:rPr>
      <w:sz w:val="28"/>
      <w:szCs w:val="24"/>
    </w:rPr>
  </w:style>
  <w:style w:type="character" w:styleId="Style8" w:customStyle="1">
    <w:name w:val="Текст примечания Знак"/>
    <w:link w:val="Annotationtext"/>
    <w:uiPriority w:val="99"/>
    <w:qFormat/>
    <w:locked/>
    <w:rsid w:val="00c32d67"/>
    <w:rPr/>
  </w:style>
  <w:style w:type="character" w:styleId="11"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9" w:customStyle="1">
    <w:name w:val="Заголовок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0" w:customStyle="1">
    <w:name w:val="Текст концевой сноски Знак"/>
    <w:qFormat/>
    <w:rsid w:val="006c5b2a"/>
    <w:rPr/>
  </w:style>
  <w:style w:type="character" w:styleId="Style11" w:customStyle="1">
    <w:name w:val="Символ концевой сноски"/>
    <w:qFormat/>
    <w:rPr>
      <w:vertAlign w:val="superscript"/>
    </w:rPr>
  </w:style>
  <w:style w:type="character" w:styleId="EndnoteReference">
    <w:name w:val="Endnote Reference"/>
    <w:rPr>
      <w:vertAlign w:val="superscript"/>
    </w:rPr>
  </w:style>
  <w:style w:type="character" w:styleId="EndnoteCharacters" w:customStyle="1">
    <w:name w:val="Endnote Characters"/>
    <w:uiPriority w:val="99"/>
    <w:qFormat/>
    <w:rsid w:val="006c5b2a"/>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2" w:customStyle="1">
    <w:name w:val="Неразрешенное упоминание1"/>
    <w:basedOn w:val="DefaultParagraphFont"/>
    <w:uiPriority w:val="99"/>
    <w:semiHidden/>
    <w:unhideWhenUsed/>
    <w:qFormat/>
    <w:rsid w:val="00e50f4f"/>
    <w:rPr>
      <w:color w:val="808080"/>
      <w:shd w:fill="E6E6E6" w:val="clear"/>
    </w:rPr>
  </w:style>
  <w:style w:type="character" w:styleId="23" w:customStyle="1">
    <w:name w:val="Неразрешенное упоминание2"/>
    <w:basedOn w:val="DefaultParagraphFont"/>
    <w:uiPriority w:val="99"/>
    <w:semiHidden/>
    <w:unhideWhenUsed/>
    <w:qFormat/>
    <w:rsid w:val="00e50ef9"/>
    <w:rPr>
      <w:color w:val="808080"/>
      <w:shd w:fill="E6E6E6" w:val="clear"/>
    </w:rPr>
  </w:style>
  <w:style w:type="character" w:styleId="3"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2" w:customStyle="1">
    <w:name w:val="Примечание Знак"/>
    <w:link w:val="Style31"/>
    <w:qFormat/>
    <w:rsid w:val="00345a72"/>
    <w:rPr>
      <w:spacing w:val="20"/>
      <w:sz w:val="24"/>
    </w:rPr>
  </w:style>
  <w:style w:type="character" w:styleId="4" w:customStyle="1">
    <w:name w:val="Неразрешенное упоминание4"/>
    <w:basedOn w:val="DefaultParagraphFont"/>
    <w:uiPriority w:val="99"/>
    <w:semiHidden/>
    <w:unhideWhenUsed/>
    <w:qFormat/>
    <w:rsid w:val="00b1261b"/>
    <w:rPr>
      <w:color w:val="808080"/>
      <w:shd w:fill="E6E6E6" w:val="clear"/>
    </w:rPr>
  </w:style>
  <w:style w:type="character" w:styleId="5" w:customStyle="1">
    <w:name w:val="Неразрешенное упоминание5"/>
    <w:basedOn w:val="DefaultParagraphFont"/>
    <w:uiPriority w:val="99"/>
    <w:semiHidden/>
    <w:unhideWhenUsed/>
    <w:qFormat/>
    <w:rsid w:val="00a842f9"/>
    <w:rPr>
      <w:color w:val="808080"/>
      <w:shd w:fill="E6E6E6" w:val="clear"/>
    </w:rPr>
  </w:style>
  <w:style w:type="character" w:styleId="HTML" w:customStyle="1">
    <w:name w:val="Стандартный HTML Знак"/>
    <w:basedOn w:val="DefaultParagraphFont"/>
    <w:link w:val="HTMLPreformatted"/>
    <w:uiPriority w:val="99"/>
    <w:semiHidden/>
    <w:qFormat/>
    <w:rsid w:val="00c01a39"/>
    <w:rPr>
      <w:rFonts w:ascii="Courier New" w:hAnsi="Courier New" w:cs="Courier New"/>
      <w:sz w:val="20"/>
      <w:szCs w:val="20"/>
    </w:rPr>
  </w:style>
  <w:style w:type="character" w:styleId="Style13" w:customStyle="1">
    <w:name w:val="Ссылка указателя"/>
    <w:qFormat/>
    <w:rPr/>
  </w:style>
  <w:style w:type="character" w:styleId="LineNumber">
    <w:name w:val="Line Number"/>
    <w:rPr/>
  </w:style>
  <w:style w:type="paragraph" w:styleId="Style14">
    <w:name w:val="Заголовок"/>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link w:val="Style7"/>
    <w:pPr>
      <w:tabs>
        <w:tab w:val="clear" w:pos="567"/>
        <w:tab w:val="right" w:pos="9360" w:leader="none"/>
      </w:tabs>
      <w:jc w:val="left"/>
    </w:pPr>
    <w:rPr>
      <w:szCs w:val="24"/>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Style15">
    <w:name w:val="Указатель"/>
    <w:basedOn w:val="Normal"/>
    <w:qFormat/>
    <w:pPr>
      <w:suppressLineNumbers/>
    </w:pPr>
    <w:rPr/>
  </w:style>
  <w:style w:type="paragraph" w:styleId="Title">
    <w:name w:val="Title"/>
    <w:basedOn w:val="Normal"/>
    <w:next w:val="BodyText"/>
    <w:link w:val="Style9"/>
    <w:qFormat/>
    <w:rsid w:val="00b12101"/>
    <w:pPr>
      <w:jc w:val="center"/>
    </w:pPr>
    <w:rPr>
      <w:sz w:val="24"/>
      <w:szCs w:val="24"/>
      <w:lang w:val="x-none" w:eastAsia="x-none"/>
    </w:rPr>
  </w:style>
  <w:style w:type="paragraph" w:styleId="Caption1">
    <w:name w:val="caption1"/>
    <w:basedOn w:val="Normal"/>
    <w:next w:val="Normal"/>
    <w:qFormat/>
    <w:pPr>
      <w:pageBreakBefore/>
      <w:spacing w:before="120" w:after="120"/>
    </w:pPr>
    <w:rPr>
      <w:bCs/>
      <w:i/>
      <w:sz w:val="24"/>
    </w:rPr>
  </w:style>
  <w:style w:type="paragraph" w:styleId="Indexheading">
    <w:name w:val="index heading"/>
    <w:basedOn w:val="Normal"/>
    <w:qFormat/>
    <w:pPr>
      <w:suppressLineNumbers/>
    </w:pPr>
    <w:rPr/>
  </w:style>
  <w:style w:type="paragraph" w:styleId="Style16" w:customStyle="1">
    <w:name w:val="Колонтитул"/>
    <w:basedOn w:val="Normal"/>
    <w:qFormat/>
    <w:pPr/>
    <w:rPr/>
  </w:style>
  <w:style w:type="paragraph" w:styleId="Header">
    <w:name w:val="Header"/>
    <w:basedOn w:val="Normal"/>
    <w:pPr>
      <w:pBdr>
        <w:bottom w:val="single" w:sz="4" w:space="1" w:color="000000"/>
      </w:pBdr>
      <w:tabs>
        <w:tab w:val="clear" w:pos="567"/>
        <w:tab w:val="center" w:pos="4153" w:leader="none"/>
        <w:tab w:val="right" w:pos="8306" w:leader="none"/>
      </w:tabs>
      <w:jc w:val="center"/>
    </w:pPr>
    <w:rPr>
      <w:i/>
      <w:sz w:val="20"/>
    </w:rPr>
  </w:style>
  <w:style w:type="paragraph" w:styleId="Footer">
    <w:name w:val="Footer"/>
    <w:basedOn w:val="Normal"/>
    <w:pPr>
      <w:tabs>
        <w:tab w:val="clear" w:pos="567"/>
        <w:tab w:val="center" w:pos="4253" w:leader="none"/>
        <w:tab w:val="right" w:pos="9356" w:leader="none"/>
      </w:tabs>
    </w:pPr>
    <w:rPr>
      <w:sz w:val="20"/>
    </w:rPr>
  </w:style>
  <w:style w:type="paragraph" w:styleId="TOC1">
    <w:name w:val="TOC 1"/>
    <w:basedOn w:val="Normal"/>
    <w:next w:val="Normal"/>
    <w:autoRedefine/>
    <w:uiPriority w:val="39"/>
    <w:rsid w:val="00a842f9"/>
    <w:pPr>
      <w:tabs>
        <w:tab w:val="clear" w:pos="567"/>
        <w:tab w:val="left" w:pos="540" w:leader="none"/>
        <w:tab w:val="right" w:pos="10195" w:leader="dot"/>
      </w:tabs>
      <w:spacing w:before="240" w:after="120"/>
      <w:ind w:left="539" w:right="1134" w:hanging="539"/>
      <w:jc w:val="left"/>
    </w:pPr>
    <w:rPr>
      <w:b/>
      <w:bCs/>
      <w:caps/>
    </w:rPr>
  </w:style>
  <w:style w:type="paragraph" w:styleId="TOC2">
    <w:name w:val="TOC 2"/>
    <w:basedOn w:val="Normal"/>
    <w:next w:val="Normal"/>
    <w:autoRedefine/>
    <w:uiPriority w:val="39"/>
    <w:rsid w:val="00a842f9"/>
    <w:pPr>
      <w:tabs>
        <w:tab w:val="clear" w:pos="567"/>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1d3d1b"/>
    <w:pPr>
      <w:tabs>
        <w:tab w:val="clear" w:pos="567"/>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pPr>
      <w:tabs>
        <w:tab w:val="clear" w:pos="567"/>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17" w:customStyle="1">
    <w:name w:val="Таблица шапка"/>
    <w:basedOn w:val="Normal"/>
    <w:qFormat/>
    <w:pPr>
      <w:keepNext w:val="true"/>
      <w:spacing w:before="40" w:after="40"/>
      <w:ind w:left="57" w:right="57" w:hanging="0"/>
      <w:jc w:val="left"/>
    </w:pPr>
    <w:rPr>
      <w:sz w:val="22"/>
    </w:rPr>
  </w:style>
  <w:style w:type="paragraph" w:styleId="FootnoteText">
    <w:name w:val="Footnote Text"/>
    <w:basedOn w:val="Normal"/>
    <w:link w:val="Style1"/>
    <w:uiPriority w:val="99"/>
    <w:pPr/>
    <w:rPr>
      <w:sz w:val="20"/>
    </w:rPr>
  </w:style>
  <w:style w:type="paragraph" w:styleId="Style18" w:customStyle="1">
    <w:name w:val="Таблица текст"/>
    <w:basedOn w:val="Normal"/>
    <w:qFormat/>
    <w:pPr>
      <w:spacing w:before="40" w:after="40"/>
      <w:ind w:left="57" w:right="57" w:hanging="0"/>
      <w:jc w:val="left"/>
    </w:pPr>
    <w:rPr>
      <w:sz w:val="24"/>
    </w:rPr>
  </w:style>
  <w:style w:type="paragraph" w:styleId="TOC5">
    <w:name w:val="TOC 5"/>
    <w:basedOn w:val="Normal"/>
    <w:next w:val="Normal"/>
    <w:autoRedefine/>
    <w:uiPriority w:val="39"/>
    <w:pPr>
      <w:ind w:left="1120" w:hanging="0"/>
      <w:jc w:val="left"/>
    </w:pPr>
    <w:rPr>
      <w:sz w:val="18"/>
      <w:szCs w:val="18"/>
    </w:rPr>
  </w:style>
  <w:style w:type="paragraph" w:styleId="TOC6">
    <w:name w:val="TOC 6"/>
    <w:basedOn w:val="Normal"/>
    <w:next w:val="Normal"/>
    <w:autoRedefine/>
    <w:uiPriority w:val="39"/>
    <w:pPr>
      <w:ind w:left="1400" w:hanging="0"/>
      <w:jc w:val="left"/>
    </w:pPr>
    <w:rPr>
      <w:sz w:val="18"/>
      <w:szCs w:val="18"/>
    </w:rPr>
  </w:style>
  <w:style w:type="paragraph" w:styleId="TOC7">
    <w:name w:val="TOC 7"/>
    <w:basedOn w:val="Normal"/>
    <w:next w:val="Normal"/>
    <w:autoRedefine/>
    <w:uiPriority w:val="39"/>
    <w:pPr>
      <w:ind w:left="1680" w:hanging="0"/>
      <w:jc w:val="left"/>
    </w:pPr>
    <w:rPr>
      <w:sz w:val="18"/>
      <w:szCs w:val="18"/>
    </w:rPr>
  </w:style>
  <w:style w:type="paragraph" w:styleId="TOC8">
    <w:name w:val="TOC 8"/>
    <w:basedOn w:val="Normal"/>
    <w:next w:val="Normal"/>
    <w:autoRedefine/>
    <w:uiPriority w:val="39"/>
    <w:pPr>
      <w:ind w:left="1960" w:hanging="0"/>
      <w:jc w:val="left"/>
    </w:pPr>
    <w:rPr>
      <w:sz w:val="18"/>
      <w:szCs w:val="18"/>
    </w:rPr>
  </w:style>
  <w:style w:type="paragraph" w:styleId="TOC9">
    <w:name w:val="TOC 9"/>
    <w:basedOn w:val="Normal"/>
    <w:next w:val="Normal"/>
    <w:autoRedefine/>
    <w:uiPriority w:val="39"/>
    <w:pPr>
      <w:ind w:left="2240" w:hanging="0"/>
      <w:jc w:val="left"/>
    </w:pPr>
    <w:rPr>
      <w:sz w:val="18"/>
      <w:szCs w:val="18"/>
    </w:rPr>
  </w:style>
  <w:style w:type="paragraph" w:styleId="Style19" w:customStyle="1">
    <w:name w:val="Служебный"/>
    <w:basedOn w:val="Style20"/>
    <w:qFormat/>
    <w:pPr/>
    <w:rPr/>
  </w:style>
  <w:style w:type="paragraph" w:styleId="Style20" w:customStyle="1">
    <w:name w:val="Главы"/>
    <w:basedOn w:val="Style21"/>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1" w:customStyle="1">
    <w:name w:val="Структура"/>
    <w:basedOn w:val="Normal"/>
    <w:qFormat/>
    <w:pPr>
      <w:pageBreakBefore/>
      <w:pBdr>
        <w:bottom w:val="thinThickSmallGap" w:sz="24" w:space="1" w:color="000000"/>
      </w:pBdr>
      <w:tabs>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2" w:customStyle="1">
    <w:name w:val="маркированный"/>
    <w:basedOn w:val="Normal"/>
    <w:semiHidden/>
    <w:qFormat/>
    <w:pPr>
      <w:tabs>
        <w:tab w:val="clear" w:pos="567"/>
        <w:tab w:val="left" w:pos="1701" w:leader="none"/>
      </w:tabs>
      <w:ind w:left="1701" w:hanging="567"/>
    </w:pPr>
    <w:rPr/>
  </w:style>
  <w:style w:type="paragraph" w:styleId="Style23" w:customStyle="1">
    <w:name w:val="Пункт"/>
    <w:basedOn w:val="Normal"/>
    <w:link w:val="21"/>
    <w:qFormat/>
    <w:rsid w:val="001b3984"/>
    <w:pPr>
      <w:numPr>
        <w:ilvl w:val="2"/>
        <w:numId w:val="3"/>
      </w:numPr>
      <w:tabs>
        <w:tab w:val="clear" w:pos="567"/>
        <w:tab w:val="left" w:pos="4962" w:leader="none"/>
      </w:tabs>
      <w:ind w:left="4962" w:hanging="0"/>
    </w:pPr>
    <w:rPr/>
  </w:style>
  <w:style w:type="paragraph" w:styleId="Style24" w:customStyle="1">
    <w:name w:val="Подпункт"/>
    <w:basedOn w:val="Style23"/>
    <w:link w:val="1"/>
    <w:qFormat/>
    <w:rsid w:val="001b3984"/>
    <w:pPr/>
    <w:rPr/>
  </w:style>
  <w:style w:type="paragraph" w:styleId="24" w:customStyle="1">
    <w:name w:val="Пункт2"/>
    <w:basedOn w:val="Style23"/>
    <w:link w:val="22"/>
    <w:qFormat/>
    <w:pPr>
      <w:keepNext w:val="true"/>
      <w:spacing w:before="240" w:after="120"/>
      <w:jc w:val="left"/>
      <w:outlineLvl w:val="2"/>
    </w:pPr>
    <w:rPr>
      <w:b/>
    </w:rPr>
  </w:style>
  <w:style w:type="paragraph" w:styleId="Style25" w:customStyle="1">
    <w:name w:val="Подподпункт"/>
    <w:basedOn w:val="Style24"/>
    <w:link w:val="Style5"/>
    <w:qFormat/>
    <w:pPr/>
    <w:rPr/>
  </w:style>
  <w:style w:type="paragraph" w:styleId="ListNumber">
    <w:name w:val="List Number"/>
    <w:basedOn w:val="Normal"/>
    <w:qFormat/>
    <w:pPr>
      <w:tabs>
        <w:tab w:val="clear" w:pos="567"/>
        <w:tab w:val="left" w:pos="1134" w:leader="none"/>
      </w:tabs>
      <w:spacing w:before="60" w:after="0"/>
    </w:pPr>
    <w:rPr>
      <w:szCs w:val="24"/>
    </w:rPr>
  </w:style>
  <w:style w:type="paragraph" w:styleId="Style26" w:customStyle="1">
    <w:name w:val="Текст таблицы"/>
    <w:basedOn w:val="Normal"/>
    <w:semiHidden/>
    <w:qFormat/>
    <w:pPr>
      <w:spacing w:before="40" w:after="40"/>
      <w:ind w:left="57" w:right="57" w:hanging="0"/>
      <w:jc w:val="left"/>
    </w:pPr>
    <w:rPr>
      <w:sz w:val="24"/>
      <w:szCs w:val="24"/>
    </w:rPr>
  </w:style>
  <w:style w:type="paragraph" w:styleId="Style27" w:customStyle="1">
    <w:name w:val="Пункт б/н"/>
    <w:basedOn w:val="Normal"/>
    <w:qFormat/>
    <w:pPr>
      <w:tabs>
        <w:tab w:val="clear" w:pos="567"/>
        <w:tab w:val="left" w:pos="1134" w:leader="none"/>
      </w:tabs>
    </w:pPr>
    <w:rPr/>
  </w:style>
  <w:style w:type="paragraph" w:styleId="ListBullet">
    <w:name w:val="List Bullet"/>
    <w:basedOn w:val="Normal"/>
    <w:autoRedefine/>
    <w:qFormat/>
    <w:pPr>
      <w:tabs>
        <w:tab w:val="clear" w:pos="567"/>
        <w:tab w:val="left" w:pos="360" w:leader="none"/>
      </w:tabs>
      <w:ind w:left="360" w:hanging="360"/>
    </w:pPr>
    <w:rPr/>
  </w:style>
  <w:style w:type="paragraph" w:styleId="BalloonText">
    <w:name w:val="Balloon Text"/>
    <w:basedOn w:val="Normal"/>
    <w:link w:val="Style6"/>
    <w:uiPriority w:val="99"/>
    <w:semiHidden/>
    <w:qFormat/>
    <w:pPr/>
    <w:rPr>
      <w:rFonts w:ascii="Tahoma" w:hAnsi="Tahoma" w:cs="Tahoma"/>
      <w:sz w:val="16"/>
      <w:szCs w:val="16"/>
    </w:rPr>
  </w:style>
  <w:style w:type="paragraph" w:styleId="Annotationtext">
    <w:name w:val="annotation text"/>
    <w:basedOn w:val="Normal"/>
    <w:link w:val="Style8"/>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28" w:customStyle="1">
    <w:name w:val="Подподподподпункт"/>
    <w:basedOn w:val="Normal"/>
    <w:qFormat/>
    <w:pPr>
      <w:tabs>
        <w:tab w:val="clear" w:pos="567"/>
        <w:tab w:val="left" w:pos="2835" w:leader="none"/>
      </w:tabs>
      <w:ind w:left="2835" w:hanging="567"/>
    </w:pPr>
    <w:rPr/>
  </w:style>
  <w:style w:type="paragraph" w:styleId="Style29" w:customStyle="1">
    <w:name w:val="Подподподпункт"/>
    <w:basedOn w:val="Normal"/>
    <w:qFormat/>
    <w:pPr>
      <w:tabs>
        <w:tab w:val="clear" w:pos="567"/>
        <w:tab w:val="left" w:pos="2268" w:leader="none"/>
      </w:tabs>
      <w:ind w:left="2268" w:hanging="567"/>
    </w:pPr>
    <w:rPr/>
  </w:style>
  <w:style w:type="paragraph" w:styleId="BodyTextIndent">
    <w:name w:val="Body Text Indent"/>
    <w:basedOn w:val="Normal"/>
    <w:pPr>
      <w:ind w:firstLine="485"/>
    </w:pPr>
    <w:rPr>
      <w:i/>
      <w:color w:val="000000"/>
      <w:szCs w:val="28"/>
    </w:rPr>
  </w:style>
  <w:style w:type="paragraph" w:styleId="Normal1" w:customStyle="1">
    <w:name w:val="Normal Знак"/>
    <w:qFormat/>
    <w:rsid w:val="00b12101"/>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uiPriority w:val="34"/>
    <w:qFormat/>
    <w:rsid w:val="00b12101"/>
    <w:pPr>
      <w:spacing w:before="120" w:after="0"/>
      <w:ind w:left="720" w:hanging="0"/>
      <w:contextualSpacing/>
      <w:jc w:val="left"/>
    </w:pPr>
    <w:rPr>
      <w:rFonts w:ascii="Geneva CY" w:hAnsi="Geneva CY" w:eastAsia="Geneva"/>
      <w:sz w:val="24"/>
      <w:lang w:eastAsia="en-US"/>
    </w:rPr>
  </w:style>
  <w:style w:type="paragraph" w:styleId="31"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rPr>
      <w:bCs/>
      <w:sz w:val="24"/>
      <w:szCs w:val="22"/>
    </w:rPr>
  </w:style>
  <w:style w:type="paragraph" w:styleId="ConsPlusNonformat" w:customStyle="1">
    <w:name w:val="ConsPlusNonformat"/>
    <w:uiPriority w:val="99"/>
    <w:qFormat/>
    <w:rsid w:val="00793eb5"/>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2" w:customStyle="1">
    <w:name w:val="Пункт_3"/>
    <w:basedOn w:val="Normal"/>
    <w:qFormat/>
    <w:rsid w:val="0003611d"/>
    <w:pPr>
      <w:tabs>
        <w:tab w:val="clear" w:pos="567"/>
        <w:tab w:val="left" w:pos="1134" w:leader="none"/>
      </w:tabs>
      <w:ind w:left="1134" w:hanging="1133"/>
    </w:pPr>
    <w:rPr/>
  </w:style>
  <w:style w:type="paragraph" w:styleId="EndnoteText">
    <w:name w:val="Endnote Text"/>
    <w:basedOn w:val="Normal"/>
    <w:link w:val="Style10"/>
    <w:rsid w:val="006c5b2a"/>
    <w:pPr/>
    <w:rPr>
      <w:sz w:val="20"/>
    </w:rPr>
  </w:style>
  <w:style w:type="paragraph" w:styleId="13" w:customStyle="1">
    <w:name w:val="Пункт1"/>
    <w:basedOn w:val="Normal"/>
    <w:qFormat/>
    <w:rsid w:val="00910068"/>
    <w:pPr>
      <w:numPr>
        <w:ilvl w:val="0"/>
        <w:numId w:val="4"/>
      </w:numPr>
      <w:spacing w:before="240" w:after="0"/>
      <w:jc w:val="center"/>
    </w:pPr>
    <w:rPr>
      <w:rFonts w:ascii="Arial" w:hAnsi="Arial"/>
      <w:b/>
      <w:szCs w:val="28"/>
    </w:rPr>
  </w:style>
  <w:style w:type="paragraph" w:styleId="Revision">
    <w:name w:val="Revision"/>
    <w:uiPriority w:val="99"/>
    <w:semiHidden/>
    <w:qFormat/>
    <w:rsid w:val="00e21873"/>
    <w:pPr>
      <w:widowControl/>
      <w:suppressAutoHyphens w:val="true"/>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5"/>
      </w:numPr>
      <w:jc w:val="center"/>
    </w:pPr>
    <w:rPr>
      <w:rFonts w:ascii="Arial" w:hAnsi="Arial"/>
      <w:b/>
      <w:sz w:val="36"/>
      <w:szCs w:val="28"/>
    </w:rPr>
  </w:style>
  <w:style w:type="paragraph" w:styleId="Sttext12" w:customStyle="1">
    <w:name w:val="st_text12"/>
    <w:basedOn w:val="Normal"/>
    <w:qFormat/>
    <w:rsid w:val="00785c46"/>
    <w:pPr>
      <w:tabs>
        <w:tab w:val="clear" w:pos="567"/>
        <w:tab w:val="left" w:pos="576" w:leader="none"/>
      </w:tabs>
      <w:ind w:left="576" w:hanging="576"/>
    </w:pPr>
    <w:rPr>
      <w:szCs w:val="28"/>
    </w:rPr>
  </w:style>
  <w:style w:type="paragraph" w:styleId="Sttext123" w:customStyle="1">
    <w:name w:val="st_text123"/>
    <w:basedOn w:val="Normal"/>
    <w:qFormat/>
    <w:rsid w:val="00785c46"/>
    <w:pPr>
      <w:tabs>
        <w:tab w:val="clear" w:pos="567"/>
        <w:tab w:val="left" w:pos="720" w:leader="none"/>
      </w:tabs>
      <w:ind w:left="720" w:hanging="720"/>
    </w:pPr>
    <w:rPr>
      <w:szCs w:val="28"/>
    </w:rPr>
  </w:style>
  <w:style w:type="paragraph" w:styleId="Sttext1234" w:customStyle="1">
    <w:name w:val="st_text1234"/>
    <w:basedOn w:val="Normal"/>
    <w:qFormat/>
    <w:rsid w:val="00785c46"/>
    <w:pPr>
      <w:tabs>
        <w:tab w:val="clear" w:pos="567"/>
        <w:tab w:val="left" w:pos="864" w:leader="none"/>
      </w:tabs>
      <w:ind w:left="864" w:hanging="864"/>
    </w:pPr>
    <w:rPr>
      <w:szCs w:val="28"/>
    </w:rPr>
  </w:style>
  <w:style w:type="paragraph" w:styleId="14" w:customStyle="1">
    <w:name w:val="Заголовок1"/>
    <w:basedOn w:val="Normal"/>
    <w:qFormat/>
    <w:rsid w:val="00a633f7"/>
    <w:pPr>
      <w:tabs>
        <w:tab w:val="left" w:pos="567" w:leader="none"/>
      </w:tabs>
      <w:spacing w:before="240" w:after="0"/>
      <w:ind w:left="567" w:hanging="279"/>
      <w:jc w:val="center"/>
    </w:pPr>
    <w:rPr>
      <w:b/>
      <w:szCs w:val="28"/>
    </w:rPr>
  </w:style>
  <w:style w:type="paragraph" w:styleId="Style30" w:customStyle="1">
    <w:name w:val="русгидро п.п.п.п."/>
    <w:basedOn w:val="Normal"/>
    <w:qFormat/>
    <w:rsid w:val="00a633f7"/>
    <w:pPr>
      <w:tabs>
        <w:tab w:val="clear" w:pos="567"/>
        <w:tab w:val="left" w:pos="1843" w:leader="none"/>
        <w:tab w:val="left" w:pos="2269" w:leader="none"/>
      </w:tabs>
      <w:ind w:left="2269" w:hanging="567"/>
    </w:pPr>
    <w:rPr>
      <w:szCs w:val="28"/>
    </w:rPr>
  </w:style>
  <w:style w:type="paragraph" w:styleId="Style31" w:customStyle="1">
    <w:name w:val="Примечание"/>
    <w:basedOn w:val="Normal"/>
    <w:link w:val="Style12"/>
    <w:qFormat/>
    <w:rsid w:val="00345a72"/>
    <w:pPr>
      <w:spacing w:before="240" w:after="240"/>
      <w:ind w:left="1701" w:right="567" w:hanging="0"/>
    </w:pPr>
    <w:rPr>
      <w:spacing w:val="20"/>
      <w:sz w:val="24"/>
    </w:rPr>
  </w:style>
  <w:style w:type="paragraph" w:styleId="15" w:customStyle="1">
    <w:name w:val="Пункт_1"/>
    <w:basedOn w:val="Normal"/>
    <w:qFormat/>
    <w:rsid w:val="00f51ba9"/>
    <w:pPr>
      <w:keepNext w:val="true"/>
      <w:tabs>
        <w:tab w:val="clear" w:pos="567"/>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567"/>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Style32" w:customStyle="1">
    <w:name w:val="Знак"/>
    <w:basedOn w:val="Normal"/>
    <w:qFormat/>
    <w:rsid w:val="00ec65ea"/>
    <w:pPr>
      <w:spacing w:lineRule="exact" w:line="240" w:before="0" w:after="160"/>
      <w:jc w:val="left"/>
    </w:pPr>
    <w:rPr>
      <w:rFonts w:ascii="Verdana" w:hAnsi="Verdana" w:cs="Verdana"/>
      <w:sz w:val="20"/>
      <w:szCs w:val="20"/>
      <w:lang w:val="en-US" w:eastAsia="en-US"/>
    </w:rPr>
  </w:style>
  <w:style w:type="paragraph" w:styleId="Xl30" w:customStyle="1">
    <w:name w:val="xl30"/>
    <w:basedOn w:val="Normal"/>
    <w:qFormat/>
    <w:rsid w:val="006775ff"/>
    <w:pPr>
      <w:spacing w:beforeAutospacing="1" w:afterAutospacing="1"/>
      <w:jc w:val="right"/>
    </w:pPr>
    <w:rPr>
      <w:rFonts w:eastAsia="Arial Unicode MS"/>
      <w:sz w:val="20"/>
      <w:szCs w:val="20"/>
    </w:rPr>
  </w:style>
  <w:style w:type="numbering" w:styleId="NoList" w:default="1">
    <w:name w:val="No List"/>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 w:type="table" w:styleId="afff8">
    <w:name w:val="Table Grid"/>
    <w:basedOn w:val="a2"/>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Сетка таблицы211"/>
    <w:basedOn w:val="a2"/>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ot-online.ru/" TargetMode="External"/><Relationship Id="rId3" Type="http://schemas.openxmlformats.org/officeDocument/2006/relationships/hyperlink" Target="mailto: zges@rushydro.ru" TargetMode="External"/><Relationship Id="rId4" Type="http://schemas.openxmlformats.org/officeDocument/2006/relationships/hyperlink" Target="mailto: zges@rushydro.ru" TargetMode="External"/><Relationship Id="rId5" Type="http://schemas.openxmlformats.org/officeDocument/2006/relationships/hyperlink" Target="https://lot-online.ru/" TargetMode="External"/><Relationship Id="rId6" Type="http://schemas.openxmlformats.org/officeDocument/2006/relationships/hyperlink" Target="https://lot-online.ru/" TargetMode="External"/><Relationship Id="rId7" Type="http://schemas.openxmlformats.org/officeDocument/2006/relationships/image" Target="media/image1.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22A65-4AF6-4084-A4C5-39DC1B1E1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AlterOffice/3.4.0.8$Linux_X86_64 LibreOffice_project/8f3f3c847f0b8d6fea24e251d3d8ed4f23cbe23c</Application>
  <AppVersion>15.0000</AppVersion>
  <Pages>33</Pages>
  <Words>8950</Words>
  <Characters>62113</Characters>
  <CharactersWithSpaces>70662</CharactersWithSpaces>
  <Paragraphs>851</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2025-02-20T07:28:00Z</dcterms:created>
  <dc:creator>Artem Lukashov</dc:creator>
  <dc:description/>
  <dc:language>ru-RU</dc:language>
  <cp:lastModifiedBy>solomkonv@corp.gidroogk.com</cp:lastModifiedBy>
  <cp:lastPrinted>2024-12-12T07:35:00Z</cp:lastPrinted>
  <dcterms:modified xsi:type="dcterms:W3CDTF">2025-02-20T17:22:38Z</dcterms:modified>
  <cp:revision>3</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