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B648C" w:rsidRDefault="00CB648C">
      <w:pPr>
        <w:pStyle w:val="1a"/>
        <w:rPr>
          <w:b w:val="0"/>
          <w:bCs w:val="0"/>
          <w:spacing w:val="30"/>
          <w:sz w:val="22"/>
          <w:szCs w:val="22"/>
        </w:rPr>
      </w:pPr>
    </w:p>
    <w:p w:rsidR="00CB648C" w:rsidRDefault="00B803AF">
      <w:pPr>
        <w:pStyle w:val="1a"/>
        <w:jc w:val="right"/>
        <w:rPr>
          <w:sz w:val="22"/>
          <w:szCs w:val="22"/>
        </w:rPr>
      </w:pPr>
      <w:r>
        <w:rPr>
          <w:b w:val="0"/>
          <w:sz w:val="22"/>
          <w:szCs w:val="22"/>
        </w:rPr>
        <w:t xml:space="preserve">Приложение № 1 </w:t>
      </w:r>
    </w:p>
    <w:p w:rsidR="00CB648C" w:rsidRDefault="00B803AF">
      <w:pPr>
        <w:ind w:right="-57"/>
        <w:jc w:val="right"/>
        <w:rPr>
          <w:sz w:val="22"/>
          <w:szCs w:val="22"/>
        </w:rPr>
      </w:pPr>
      <w:r>
        <w:rPr>
          <w:sz w:val="22"/>
          <w:szCs w:val="22"/>
        </w:rPr>
        <w:t>к Оферте</w:t>
      </w:r>
    </w:p>
    <w:p w:rsidR="00CB648C" w:rsidRDefault="00B803AF">
      <w:pPr>
        <w:pStyle w:val="1a"/>
        <w:rPr>
          <w:sz w:val="22"/>
          <w:szCs w:val="22"/>
        </w:rPr>
      </w:pPr>
      <w:r>
        <w:rPr>
          <w:sz w:val="22"/>
          <w:szCs w:val="22"/>
        </w:rPr>
        <w:t>Договор о задатке №____</w:t>
      </w:r>
    </w:p>
    <w:p w:rsidR="00CB648C" w:rsidRDefault="00B803AF">
      <w:pPr>
        <w:pStyle w:val="1a"/>
        <w:rPr>
          <w:sz w:val="22"/>
          <w:szCs w:val="22"/>
        </w:rPr>
      </w:pPr>
      <w:r>
        <w:rPr>
          <w:b w:val="0"/>
          <w:bCs w:val="0"/>
          <w:spacing w:val="30"/>
          <w:sz w:val="22"/>
          <w:szCs w:val="22"/>
        </w:rPr>
        <w:t>(договор присоединения)</w:t>
      </w:r>
    </w:p>
    <w:p w:rsidR="00CB648C" w:rsidRDefault="00CB648C">
      <w:pPr>
        <w:pStyle w:val="1a"/>
        <w:rPr>
          <w:b w:val="0"/>
          <w:bCs w:val="0"/>
          <w:spacing w:val="30"/>
          <w:sz w:val="22"/>
          <w:szCs w:val="22"/>
        </w:rPr>
      </w:pPr>
    </w:p>
    <w:p w:rsidR="00CB648C" w:rsidRDefault="00B803A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  <w:t>Акционерное общество «Российский аукционный дом»,</w:t>
      </w:r>
      <w:r>
        <w:rPr>
          <w:sz w:val="22"/>
          <w:szCs w:val="22"/>
        </w:rPr>
        <w:t xml:space="preserve"> именуемое в дальнейшем    «Оператор электронной площадки», в лице Заместителя генерального директора </w:t>
      </w:r>
      <w:r>
        <w:rPr>
          <w:b/>
          <w:bCs/>
          <w:sz w:val="22"/>
          <w:szCs w:val="22"/>
        </w:rPr>
        <w:t>Канцеровой Елены Владимировны</w:t>
      </w:r>
      <w:r>
        <w:rPr>
          <w:sz w:val="22"/>
          <w:szCs w:val="22"/>
        </w:rPr>
        <w:t>, действующей на основании Доверенности от 01.01.2025 № Д-010, и присоединившийся к настоящему Договору</w:t>
      </w:r>
      <w:r>
        <w:rPr>
          <w:b/>
          <w:bCs/>
          <w:sz w:val="22"/>
          <w:szCs w:val="22"/>
        </w:rPr>
        <w:t xml:space="preserve"> </w:t>
      </w:r>
      <w:r>
        <w:rPr>
          <w:sz w:val="22"/>
          <w:szCs w:val="22"/>
        </w:rPr>
        <w:t>претендент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B648C" w:rsidRDefault="00B803AF">
      <w:pPr>
        <w:shd w:val="clear" w:color="auto" w:fill="FFFFFF"/>
        <w:tabs>
          <w:tab w:val="left" w:pos="1145"/>
        </w:tabs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на участие в торгах по продаже, именуемый в дальнейшем </w:t>
      </w:r>
      <w:r>
        <w:rPr>
          <w:b/>
          <w:sz w:val="22"/>
          <w:szCs w:val="22"/>
        </w:rPr>
        <w:t xml:space="preserve">«Претендент», </w:t>
      </w:r>
      <w:r>
        <w:rPr>
          <w:sz w:val="22"/>
          <w:szCs w:val="22"/>
        </w:rPr>
        <w:t>совместно именуемые «Стороны», в соответствии с требованиями ст.ст.380, 381, 428 ГК РФ, заключили настоящий Договор (далее – Договор) о нижеследующем:</w:t>
      </w:r>
    </w:p>
    <w:p w:rsidR="00CB648C" w:rsidRDefault="00B803AF">
      <w:pPr>
        <w:ind w:firstLine="708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В соответствии с условиями настоящего Договора Претендент для участия в торгах в форме аукциона, открытого по составу участников и открытого по форме подачи предложений по цене с применением метода повышения начальной цены («английский аукцион») по продаже</w:t>
      </w:r>
      <w:r>
        <w:rPr>
          <w:b/>
          <w:bCs/>
          <w:sz w:val="22"/>
          <w:szCs w:val="22"/>
        </w:rPr>
        <w:t xml:space="preserve"> доли в размере 100 % (сто процентов) уставного капитала Общества с ограниченной ответственностью  «Земляной вал 59»  (далее – Имущество).</w:t>
      </w:r>
    </w:p>
    <w:p w:rsidR="00CB648C" w:rsidRDefault="00B803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Сведения об Обществе с ограниченной ответственностью «Земляной вал 59»:</w:t>
      </w:r>
    </w:p>
    <w:p w:rsidR="00CB648C" w:rsidRDefault="00B803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Полное наименование: ОБЩЕСТВО С ОГРАНИЧЕННОЙ ОТВЕТСТВЕННОСТЬЮ «Земляной вал 59» </w:t>
      </w:r>
    </w:p>
    <w:p w:rsidR="00CB648C" w:rsidRDefault="00B803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Сокращенное наименование: ООО «Земляной вал 59».</w:t>
      </w:r>
    </w:p>
    <w:p w:rsidR="00CB648C" w:rsidRDefault="00B803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Место нахождения: 125047, Г.МОСКВА, ВН.ТЕР.Г. МУНИЦИПАЛЬНЫЙ ОКРУГ ТВЕРСКОЙ, УЛ 2-Я БРЕСТСКАЯ, Д. 6, ПОМЕЩ. №1317.</w:t>
      </w:r>
    </w:p>
    <w:p w:rsidR="00CB648C" w:rsidRDefault="00B803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Сведения о регистрации: ГРН и дата внесения в ЕГРЮЛ записи: 1197746758263 от 30.12.2019. ОГРН 1197746758263. ИНН 7708369581. КПП 771001001.</w:t>
      </w:r>
    </w:p>
    <w:p w:rsidR="00CB648C" w:rsidRDefault="00B803AF">
      <w:pPr>
        <w:ind w:firstLine="708"/>
        <w:jc w:val="both"/>
        <w:rPr>
          <w:sz w:val="22"/>
          <w:szCs w:val="22"/>
        </w:rPr>
      </w:pPr>
      <w:r>
        <w:rPr>
          <w:sz w:val="22"/>
          <w:szCs w:val="22"/>
        </w:rPr>
        <w:t>Уставный капитал Общества состоит из номинальной стоимости Доли участников и составляет 168 627 900 (сто шестьдесят восемь миллионов шестьсот двадцать семь тысяч девятьсот) рублей 00 копеек.</w:t>
      </w:r>
    </w:p>
    <w:p w:rsidR="00CB648C" w:rsidRDefault="00B803AF">
      <w:pPr>
        <w:ind w:firstLine="708"/>
        <w:jc w:val="both"/>
        <w:rPr>
          <w:sz w:val="22"/>
          <w:szCs w:val="22"/>
          <w:lang w:eastAsia="ar-SA"/>
        </w:rPr>
      </w:pPr>
      <w:r>
        <w:rPr>
          <w:sz w:val="22"/>
          <w:szCs w:val="22"/>
        </w:rPr>
        <w:t>Объекты недвижимости, принадлежащие Обществу на</w:t>
      </w:r>
      <w:r>
        <w:rPr>
          <w:sz w:val="22"/>
          <w:szCs w:val="22"/>
          <w:lang w:eastAsia="ar-SA"/>
        </w:rPr>
        <w:t xml:space="preserve"> праве собственности:</w:t>
      </w:r>
    </w:p>
    <w:p w:rsidR="00CB648C" w:rsidRDefault="00B803AF">
      <w:pPr>
        <w:tabs>
          <w:tab w:val="left" w:pos="709"/>
        </w:tabs>
        <w:ind w:right="-57"/>
        <w:jc w:val="both"/>
        <w:rPr>
          <w:sz w:val="22"/>
          <w:szCs w:val="22"/>
        </w:rPr>
      </w:pPr>
      <w:r>
        <w:rPr>
          <w:sz w:val="22"/>
          <w:szCs w:val="22"/>
        </w:rPr>
        <w:t>-</w:t>
      </w:r>
      <w:r>
        <w:rPr>
          <w:sz w:val="22"/>
          <w:szCs w:val="22"/>
        </w:rPr>
        <w:t xml:space="preserve"> Здание, назначение: нежилое, наименование: здание, общей площадью 833,9 кв.м, расположенное по адресу: </w:t>
      </w:r>
      <w:r>
        <w:rPr>
          <w:sz w:val="22"/>
          <w:szCs w:val="22"/>
          <w:shd w:val="clear" w:color="auto" w:fill="FFFFFF"/>
        </w:rPr>
        <w:t>РФ, город Москва, муниципальный округ Таганский, ул. Земляной Вал, дом 59, с кадастровым номером 77:01:0006028:1024</w:t>
      </w:r>
    </w:p>
    <w:p w:rsidR="00CB648C" w:rsidRDefault="00B803AF">
      <w:pPr>
        <w:pStyle w:val="a8"/>
        <w:spacing w:line="252" w:lineRule="auto"/>
        <w:ind w:left="0"/>
        <w:jc w:val="both"/>
        <w:rPr>
          <w:sz w:val="22"/>
          <w:szCs w:val="22"/>
          <w:lang w:eastAsia="ru-RU"/>
        </w:rPr>
      </w:pPr>
      <w:r>
        <w:rPr>
          <w:sz w:val="22"/>
          <w:szCs w:val="22"/>
        </w:rPr>
        <w:t xml:space="preserve">- Земельный участок, категория земель: </w:t>
      </w:r>
      <w:r>
        <w:rPr>
          <w:sz w:val="22"/>
          <w:szCs w:val="22"/>
          <w:lang w:eastAsia="ru-RU"/>
        </w:rPr>
        <w:t>Земли населенных пунктов, вид разрешенного использования:</w:t>
      </w:r>
      <w:r>
        <w:rPr>
          <w:sz w:val="22"/>
          <w:szCs w:val="22"/>
        </w:rPr>
        <w:t xml:space="preserve"> 3.4.1. Амбулаторно-полик</w:t>
      </w:r>
      <w:r>
        <w:rPr>
          <w:sz w:val="22"/>
          <w:szCs w:val="22"/>
        </w:rPr>
        <w:t xml:space="preserve">линическое обслуживание, 3.4.2. Стационарное медицинское обслуживание, 4.7. Гостиничное обслуживание, площадью 1129 +/- 7кв.м, расположенный по адресу: </w:t>
      </w:r>
      <w:r>
        <w:rPr>
          <w:sz w:val="22"/>
          <w:szCs w:val="22"/>
          <w:shd w:val="clear" w:color="auto" w:fill="FFFFFF"/>
        </w:rPr>
        <w:t xml:space="preserve">РФ, город Москва, муниципальный округ Таганский, ул. Земляной Вал, з/у 59, </w:t>
      </w:r>
      <w:r>
        <w:rPr>
          <w:sz w:val="22"/>
          <w:szCs w:val="22"/>
          <w:lang w:eastAsia="ru-RU"/>
        </w:rPr>
        <w:t>с кадастровым номером: 77:01:0006028:7</w:t>
      </w:r>
      <w:r>
        <w:rPr>
          <w:sz w:val="22"/>
          <w:szCs w:val="22"/>
        </w:rPr>
        <w:t>.</w:t>
      </w:r>
    </w:p>
    <w:p w:rsidR="00CB648C" w:rsidRDefault="00CB648C">
      <w:pPr>
        <w:pStyle w:val="a8"/>
        <w:spacing w:line="252" w:lineRule="auto"/>
        <w:ind w:left="0"/>
        <w:jc w:val="both"/>
        <w:rPr>
          <w:sz w:val="22"/>
          <w:szCs w:val="22"/>
        </w:rPr>
      </w:pPr>
    </w:p>
    <w:p w:rsidR="00CB648C" w:rsidRDefault="00B803AF">
      <w:pPr>
        <w:ind w:left="567" w:right="-5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перечисляет денежные средства </w:t>
      </w:r>
      <w:r>
        <w:rPr>
          <w:b/>
          <w:sz w:val="22"/>
          <w:szCs w:val="22"/>
        </w:rPr>
        <w:t>в размере 38 000 000 (тридцати восьми миллионов) рублей 00 копеек (</w:t>
      </w:r>
      <w:r>
        <w:rPr>
          <w:sz w:val="22"/>
          <w:szCs w:val="22"/>
        </w:rPr>
        <w:t>далее – «Задаток») на расчетный счет Оператора электронной площадки:</w:t>
      </w:r>
      <w:r>
        <w:rPr>
          <w:bCs/>
          <w:sz w:val="22"/>
          <w:szCs w:val="22"/>
          <w:shd w:val="clear" w:color="auto" w:fill="FFFFFF"/>
        </w:rPr>
        <w:t xml:space="preserve"> 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  <w:u w:val="single"/>
        </w:rPr>
        <w:t>Получатель</w:t>
      </w:r>
      <w:r>
        <w:rPr>
          <w:b/>
          <w:bCs/>
          <w:sz w:val="22"/>
          <w:szCs w:val="22"/>
        </w:rPr>
        <w:t xml:space="preserve"> - АО «Российский аукционный дом» (ИНН 7838430413, КПП 783801001):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р/с № 40702810355000036459 в СЕВЕРО-ЗАПАДНЫЙ БАНК ПАО СБЕРБАНК,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БИК 044030653, к/с 30101810500000000653.</w:t>
      </w:r>
    </w:p>
    <w:p w:rsidR="00CB648C" w:rsidRDefault="00CB648C">
      <w:pPr>
        <w:ind w:firstLine="567"/>
        <w:jc w:val="both"/>
        <w:rPr>
          <w:sz w:val="22"/>
          <w:szCs w:val="22"/>
        </w:rPr>
      </w:pP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 Задаток должен быть внесен Претендентом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 xml:space="preserve"> и должен поступить на расчетный счет Оператора электронной площадки, указанный в п.1 настоящего Договора не позднее даты, указанной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. Задаток считается внесенным с даты поступления всей суммы Задатка на указанный счет.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В случае, когда сумма Задатка от Претендента не зачислена на расчетный счет Оператора электронной площадки на дату, указанную в сообщении о продаже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Претендент не допускается к участию в торгах. Представление Претендентом платежных документов с отметкой об исполнении при этом во внимание Организатором торгов не принимается.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Договор о задатке может быть подписан Претендентом электронной подписью Претендента либо Претендент вправе направить задаток на счет, указанный в п. 1 настоящего Договора без подписания настоящего Договора электронной подписью Претендента (в этом случае перечисление задатка Претендентом в соответствии с сообщением о проведении торгов считается акцептом размещенного на электронной площадке договора о задатке).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3. Задаток служит обеспечением исполнения обязательств Претендента по заключению по итогам торгов договора и оплате цены продажи </w:t>
      </w:r>
      <w:r>
        <w:rPr>
          <w:b/>
          <w:sz w:val="22"/>
          <w:szCs w:val="22"/>
        </w:rPr>
        <w:t>Имущества</w:t>
      </w:r>
      <w:r>
        <w:rPr>
          <w:sz w:val="22"/>
          <w:szCs w:val="22"/>
        </w:rPr>
        <w:t>, определенной по итогам торгов, и исполнения иных обязательств по заключенному договору в случае признания Претендента победителем торгов, если иное не предусмотрено в информационном сообщении о проведении торгов.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4. </w:t>
      </w:r>
      <w:bookmarkStart w:id="0" w:name="_Hlk114831194"/>
      <w:r>
        <w:rPr>
          <w:sz w:val="22"/>
          <w:szCs w:val="22"/>
        </w:rPr>
        <w:t>В платежном документе в графе «назначение платежа» должна содержаться информация: «№ л/с ____________Средства для проведения операций по обеспечению участия в электронных процедурах. НДС не облагается».</w:t>
      </w:r>
    </w:p>
    <w:bookmarkEnd w:id="0"/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5. Исполнение обязанности по внесению суммы задатка третьими лицами не допускается.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6. Сроки и порядок возврата суммы задатка, внесенного Претендентом на счет Оператора электронной площадки определяются Регламентом АО «Российский аукционный дом» 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 (далее – Регламент)</w:t>
      </w:r>
      <w:r>
        <w:rPr>
          <w:rStyle w:val="aff9"/>
          <w:sz w:val="22"/>
          <w:szCs w:val="22"/>
        </w:rPr>
        <w:footnoteReference w:id="1"/>
      </w:r>
      <w:r>
        <w:rPr>
          <w:sz w:val="22"/>
          <w:szCs w:val="22"/>
        </w:rPr>
        <w:t xml:space="preserve">. 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7. В случае наступления, указанных в Регламенте оснований для возврата Оператором электронной площадки Задатка Претенденту, возврат производится путем разблокировки денежных средств в размере суммы Задатка на лицевом счете Претендента. С момента разблокировки суммы Задатка на лицевом счете Претендента обязательства Оператора электронной площадки по возврату Задатка считаются исполненными.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>8. Все возможные споры и разногласия, связанные с исполнением настоящего Договора, будут разрешаться Сторонами путем переговоров. В случае невозможности разрешения споров и разногласий путем переговоров они подлежат рассмотрению в арбитражном суде или в суде общей юрисдикции в соответствии с их компетенцией по месту нахождения Оператора электронной площадки.</w:t>
      </w:r>
    </w:p>
    <w:p w:rsidR="00CB648C" w:rsidRDefault="00B803AF">
      <w:pPr>
        <w:ind w:firstLine="567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 Фактом внесения денежных средств в качестве Задатка на участие в электронных торгах Претендент подтверждает согласие со всеми условиями проведения торгов, условиями настоящего Договора, условиями договора, подлежащего заключению по итогам торгов. </w:t>
      </w:r>
    </w:p>
    <w:p w:rsidR="00CB648C" w:rsidRDefault="00CB648C">
      <w:pPr>
        <w:jc w:val="both"/>
        <w:rPr>
          <w:sz w:val="22"/>
          <w:szCs w:val="22"/>
        </w:rPr>
      </w:pPr>
    </w:p>
    <w:p w:rsidR="00CB648C" w:rsidRDefault="00B803AF">
      <w:pPr>
        <w:ind w:firstLine="284"/>
        <w:jc w:val="center"/>
        <w:rPr>
          <w:sz w:val="22"/>
          <w:szCs w:val="22"/>
        </w:rPr>
      </w:pPr>
      <w:r>
        <w:rPr>
          <w:b/>
          <w:bCs/>
          <w:sz w:val="22"/>
          <w:szCs w:val="22"/>
        </w:rPr>
        <w:t>Реквизиты сторон:</w:t>
      </w:r>
    </w:p>
    <w:p w:rsidR="00CB648C" w:rsidRDefault="00CB648C">
      <w:pPr>
        <w:ind w:firstLine="284"/>
        <w:jc w:val="center"/>
        <w:rPr>
          <w:b/>
          <w:bCs/>
          <w:sz w:val="22"/>
          <w:szCs w:val="22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786"/>
        <w:gridCol w:w="764"/>
        <w:gridCol w:w="4274"/>
      </w:tblGrid>
      <w:tr w:rsidR="00CB648C">
        <w:trPr>
          <w:trHeight w:val="3059"/>
        </w:trPr>
        <w:tc>
          <w:tcPr>
            <w:tcW w:w="4786" w:type="dxa"/>
          </w:tcPr>
          <w:p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Оператор электронной площадки:</w:t>
            </w:r>
          </w:p>
          <w:p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Акционерное общество</w:t>
            </w:r>
          </w:p>
          <w:p w:rsidR="00CB648C" w:rsidRDefault="00B803AF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«Российский аукционный дом»</w:t>
            </w:r>
          </w:p>
          <w:p w:rsidR="00CB648C" w:rsidRDefault="00CB648C">
            <w:pPr>
              <w:rPr>
                <w:b/>
                <w:sz w:val="22"/>
                <w:szCs w:val="22"/>
              </w:rPr>
            </w:pPr>
          </w:p>
          <w:p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Адрес для корреспонденции:</w:t>
            </w:r>
          </w:p>
          <w:p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190000 Санкт-Петербург,</w:t>
            </w:r>
          </w:p>
          <w:p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пер. Гривцова, д.5, лит. В</w:t>
            </w:r>
          </w:p>
          <w:p w:rsidR="00CB648C" w:rsidRDefault="00B803A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тел. 8 (800) 777-57-57</w:t>
            </w:r>
          </w:p>
          <w:p w:rsidR="00CB648C" w:rsidRDefault="00CB648C">
            <w:pPr>
              <w:jc w:val="center"/>
              <w:rPr>
                <w:sz w:val="22"/>
                <w:szCs w:val="22"/>
              </w:rPr>
            </w:pPr>
          </w:p>
          <w:p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ОГРН: 1097847233351, ИНН: 7838430413, КПП: 783801001</w:t>
            </w:r>
          </w:p>
          <w:p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р/с № 40702810355000036459</w:t>
            </w:r>
          </w:p>
          <w:p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СЕВЕРО-ЗАПАДНЫЙ БАНК ПАО СБЕРБАНК</w:t>
            </w:r>
          </w:p>
          <w:p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БИК 044030653</w:t>
            </w:r>
          </w:p>
          <w:p w:rsidR="00CB648C" w:rsidRDefault="00B803AF">
            <w:pPr>
              <w:tabs>
                <w:tab w:val="left" w:pos="1580"/>
              </w:tabs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к/с 30101810500000000653</w:t>
            </w:r>
          </w:p>
        </w:tc>
        <w:tc>
          <w:tcPr>
            <w:tcW w:w="764" w:type="dxa"/>
          </w:tcPr>
          <w:p w:rsidR="00CB648C" w:rsidRDefault="00CB648C">
            <w:pPr>
              <w:ind w:firstLine="284"/>
              <w:jc w:val="both"/>
              <w:rPr>
                <w:sz w:val="22"/>
                <w:szCs w:val="22"/>
              </w:rPr>
            </w:pPr>
          </w:p>
        </w:tc>
        <w:tc>
          <w:tcPr>
            <w:tcW w:w="4274" w:type="dxa"/>
          </w:tcPr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ab/>
            </w:r>
            <w:r>
              <w:rPr>
                <w:b/>
                <w:bCs/>
                <w:sz w:val="22"/>
                <w:szCs w:val="22"/>
              </w:rPr>
              <w:t>ПРЕТЕНДЕНТ:</w:t>
            </w:r>
          </w:p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_________________________________</w:t>
            </w:r>
          </w:p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48C" w:rsidRDefault="00B803AF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_________________________________</w:t>
            </w:r>
          </w:p>
          <w:p w:rsidR="00CB648C" w:rsidRDefault="00CB648C">
            <w:pPr>
              <w:jc w:val="both"/>
              <w:rPr>
                <w:sz w:val="22"/>
                <w:szCs w:val="22"/>
              </w:rPr>
            </w:pPr>
          </w:p>
        </w:tc>
      </w:tr>
    </w:tbl>
    <w:p w:rsidR="00CB648C" w:rsidRDefault="00B803AF">
      <w:pPr>
        <w:ind w:firstLine="284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        </w:t>
      </w:r>
    </w:p>
    <w:p w:rsidR="00CB648C" w:rsidRDefault="00B803AF">
      <w:pPr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от Оператора электронной площадки</w:t>
      </w:r>
      <w:r>
        <w:rPr>
          <w:b/>
          <w:bCs/>
          <w:sz w:val="22"/>
          <w:szCs w:val="22"/>
        </w:rPr>
        <w:tab/>
        <w:t xml:space="preserve"> </w:t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  <w:t>от Претендента</w:t>
      </w:r>
    </w:p>
    <w:p w:rsidR="00CB648C" w:rsidRDefault="00B803AF">
      <w:pPr>
        <w:rPr>
          <w:sz w:val="22"/>
          <w:szCs w:val="22"/>
        </w:rPr>
      </w:pPr>
      <w:r>
        <w:rPr>
          <w:sz w:val="22"/>
          <w:szCs w:val="22"/>
        </w:rPr>
        <w:t>_____________________/ Е.В. Канцерова/</w:t>
      </w:r>
      <w:r>
        <w:rPr>
          <w:sz w:val="22"/>
          <w:szCs w:val="22"/>
        </w:rPr>
        <w:tab/>
      </w:r>
      <w:r>
        <w:rPr>
          <w:sz w:val="22"/>
          <w:szCs w:val="22"/>
        </w:rPr>
        <w:t xml:space="preserve">            _______________________/_________</w:t>
      </w:r>
    </w:p>
    <w:p w:rsidR="00CB648C" w:rsidRDefault="00CB648C">
      <w:pPr>
        <w:rPr>
          <w:sz w:val="22"/>
          <w:szCs w:val="22"/>
        </w:rPr>
      </w:pPr>
    </w:p>
    <w:p w:rsidR="00CB648C" w:rsidRDefault="00CB648C">
      <w:pPr>
        <w:rPr>
          <w:sz w:val="22"/>
          <w:szCs w:val="22"/>
        </w:rPr>
      </w:pPr>
    </w:p>
    <w:sectPr w:rsidR="00CB648C">
      <w:pgSz w:w="11906" w:h="16838"/>
      <w:pgMar w:top="567" w:right="849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B648C" w:rsidRDefault="00B803AF">
      <w:r>
        <w:separator/>
      </w:r>
    </w:p>
  </w:endnote>
  <w:endnote w:type="continuationSeparator" w:id="0">
    <w:p w:rsidR="00CB648C" w:rsidRDefault="00B803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NTTimes/Cyrillic">
    <w:altName w:val="Cambria"/>
    <w:charset w:val="00"/>
    <w:family w:val="auto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0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B648C" w:rsidRDefault="00B803AF">
      <w:r>
        <w:separator/>
      </w:r>
    </w:p>
  </w:footnote>
  <w:footnote w:type="continuationSeparator" w:id="0">
    <w:p w:rsidR="00CB648C" w:rsidRDefault="00B803AF">
      <w:r>
        <w:continuationSeparator/>
      </w:r>
    </w:p>
  </w:footnote>
  <w:footnote w:id="1">
    <w:p w:rsidR="00CB648C" w:rsidRDefault="00B803AF">
      <w:pPr>
        <w:pStyle w:val="af6"/>
      </w:pPr>
      <w:r>
        <w:rPr>
          <w:rStyle w:val="aff9"/>
          <w:rFonts w:ascii="Liberation Serif" w:hAnsi="Liberation Serif"/>
        </w:rPr>
        <w:footnoteRef/>
      </w:r>
      <w:r>
        <w:t xml:space="preserve"> Если иное не предусмотрено информационным сообщением о проведении торгов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C2ED8"/>
    <w:multiLevelType w:val="multilevel"/>
    <w:tmpl w:val="A2ECDCD6"/>
    <w:lvl w:ilvl="0">
      <w:start w:val="1"/>
      <w:numFmt w:val="decimal"/>
      <w:lvlText w:val="%1."/>
      <w:lvlJc w:val="left"/>
      <w:pPr>
        <w:ind w:left="384" w:hanging="384"/>
      </w:pPr>
    </w:lvl>
    <w:lvl w:ilvl="1">
      <w:start w:val="1"/>
      <w:numFmt w:val="decimal"/>
      <w:lvlText w:val="%1.%2."/>
      <w:lvlJc w:val="left"/>
      <w:pPr>
        <w:ind w:left="1008" w:hanging="384"/>
      </w:pPr>
    </w:lvl>
    <w:lvl w:ilvl="2">
      <w:start w:val="1"/>
      <w:numFmt w:val="decimal"/>
      <w:lvlText w:val="%1.%2.%3."/>
      <w:lvlJc w:val="left"/>
      <w:pPr>
        <w:ind w:left="1968" w:hanging="720"/>
      </w:pPr>
    </w:lvl>
    <w:lvl w:ilvl="3">
      <w:start w:val="1"/>
      <w:numFmt w:val="decimal"/>
      <w:lvlText w:val="%1.%2.%3.%4."/>
      <w:lvlJc w:val="left"/>
      <w:pPr>
        <w:ind w:left="2592" w:hanging="720"/>
      </w:pPr>
    </w:lvl>
    <w:lvl w:ilvl="4">
      <w:start w:val="1"/>
      <w:numFmt w:val="decimal"/>
      <w:lvlText w:val="%1.%2.%3.%4.%5."/>
      <w:lvlJc w:val="left"/>
      <w:pPr>
        <w:ind w:left="3576" w:hanging="1080"/>
      </w:pPr>
    </w:lvl>
    <w:lvl w:ilvl="5">
      <w:start w:val="1"/>
      <w:numFmt w:val="decimal"/>
      <w:lvlText w:val="%1.%2.%3.%4.%5.%6."/>
      <w:lvlJc w:val="left"/>
      <w:pPr>
        <w:ind w:left="4200" w:hanging="1080"/>
      </w:pPr>
    </w:lvl>
    <w:lvl w:ilvl="6">
      <w:start w:val="1"/>
      <w:numFmt w:val="decimal"/>
      <w:lvlText w:val="%1.%2.%3.%4.%5.%6.%7."/>
      <w:lvlJc w:val="left"/>
      <w:pPr>
        <w:ind w:left="5184" w:hanging="1440"/>
      </w:pPr>
    </w:lvl>
    <w:lvl w:ilvl="7">
      <w:start w:val="1"/>
      <w:numFmt w:val="decimal"/>
      <w:lvlText w:val="%1.%2.%3.%4.%5.%6.%7.%8."/>
      <w:lvlJc w:val="left"/>
      <w:pPr>
        <w:ind w:left="5808" w:hanging="1440"/>
      </w:pPr>
    </w:lvl>
    <w:lvl w:ilvl="8">
      <w:start w:val="1"/>
      <w:numFmt w:val="decimal"/>
      <w:lvlText w:val="%1.%2.%3.%4.%5.%6.%7.%8.%9."/>
      <w:lvlJc w:val="left"/>
      <w:pPr>
        <w:ind w:left="6792" w:hanging="1800"/>
      </w:pPr>
    </w:lvl>
  </w:abstractNum>
  <w:abstractNum w:abstractNumId="1" w15:restartNumberingAfterBreak="0">
    <w:nsid w:val="3AB15F84"/>
    <w:multiLevelType w:val="multilevel"/>
    <w:tmpl w:val="2D2E8CA8"/>
    <w:lvl w:ilvl="0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</w:rPr>
    </w:lvl>
    <w:lvl w:ilvl="1">
      <w:numFmt w:val="bullet"/>
      <w:lvlText w:val=""/>
      <w:lvlJc w:val="left"/>
    </w:lvl>
    <w:lvl w:ilvl="2">
      <w:numFmt w:val="bullet"/>
      <w:lvlText w:val=""/>
      <w:lvlJc w:val="left"/>
    </w:lvl>
    <w:lvl w:ilvl="3">
      <w:numFmt w:val="bullet"/>
      <w:lvlText w:val=""/>
      <w:lvlJc w:val="left"/>
    </w:lvl>
    <w:lvl w:ilvl="4">
      <w:numFmt w:val="bullet"/>
      <w:lvlText w:val=""/>
      <w:lvlJc w:val="left"/>
    </w:lvl>
    <w:lvl w:ilvl="5">
      <w:numFmt w:val="bullet"/>
      <w:lvlText w:val=""/>
      <w:lvlJc w:val="left"/>
    </w:lvl>
    <w:lvl w:ilvl="6">
      <w:numFmt w:val="bullet"/>
      <w:lvlText w:val=""/>
      <w:lvlJc w:val="left"/>
    </w:lvl>
    <w:lvl w:ilvl="7">
      <w:numFmt w:val="bullet"/>
      <w:lvlText w:val=""/>
      <w:lvlJc w:val="left"/>
    </w:lvl>
    <w:lvl w:ilvl="8">
      <w:numFmt w:val="bullet"/>
      <w:lvlText w:val=""/>
      <w:lvlJc w:val="left"/>
    </w:lvl>
  </w:abstractNum>
  <w:abstractNum w:abstractNumId="2" w15:restartNumberingAfterBreak="0">
    <w:nsid w:val="7F7E4799"/>
    <w:multiLevelType w:val="multilevel"/>
    <w:tmpl w:val="FACADF3A"/>
    <w:lvl w:ilvl="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42289714">
    <w:abstractNumId w:val="1"/>
  </w:num>
  <w:num w:numId="2" w16cid:durableId="870343451">
    <w:abstractNumId w:val="2"/>
  </w:num>
  <w:num w:numId="3" w16cid:durableId="19934862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648C"/>
    <w:rsid w:val="0099742F"/>
    <w:rsid w:val="00B803AF"/>
    <w:rsid w:val="00CB6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25A3CA1-DEB3-47BE-A7B0-9E9838DCA6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color w:val="000000"/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360" w:after="80"/>
      <w:outlineLvl w:val="0"/>
    </w:pPr>
    <w:rPr>
      <w:rFonts w:ascii="Arial" w:eastAsia="Arial" w:hAnsi="Arial" w:cs="Arial"/>
      <w:color w:val="365F9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160" w:after="80"/>
      <w:outlineLvl w:val="1"/>
    </w:pPr>
    <w:rPr>
      <w:rFonts w:ascii="Arial" w:eastAsia="Arial" w:hAnsi="Arial" w:cs="Arial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160" w:after="80"/>
      <w:outlineLvl w:val="2"/>
    </w:pPr>
    <w:rPr>
      <w:rFonts w:ascii="Arial" w:eastAsia="Arial" w:hAnsi="Arial" w:cs="Arial"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80" w:after="40"/>
      <w:outlineLvl w:val="3"/>
    </w:pPr>
    <w:rPr>
      <w:rFonts w:ascii="Arial" w:eastAsia="Arial" w:hAnsi="Arial" w:cs="Arial"/>
      <w:i/>
      <w:iCs/>
      <w:color w:val="365F91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80" w:after="40"/>
      <w:outlineLvl w:val="4"/>
    </w:pPr>
    <w:rPr>
      <w:rFonts w:ascii="Arial" w:eastAsia="Arial" w:hAnsi="Arial" w:cs="Arial"/>
      <w:color w:val="365F91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40"/>
      <w:outlineLvl w:val="5"/>
    </w:pPr>
    <w:rPr>
      <w:rFonts w:ascii="Arial" w:eastAsia="Arial" w:hAnsi="Arial" w:cs="Arial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40"/>
      <w:outlineLvl w:val="6"/>
    </w:pPr>
    <w:rPr>
      <w:rFonts w:ascii="Arial" w:eastAsia="Arial" w:hAnsi="Arial" w:cs="Arial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outlineLvl w:val="7"/>
    </w:pPr>
    <w:rPr>
      <w:rFonts w:ascii="Arial" w:eastAsia="Arial" w:hAnsi="Arial" w:cs="Arial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outlineLvl w:val="8"/>
    </w:pPr>
    <w:rPr>
      <w:rFonts w:ascii="Arial" w:eastAsia="Arial" w:hAnsi="Arial" w:cs="Arial"/>
      <w:i/>
      <w:iCs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a4">
    <w:name w:val="Title"/>
    <w:basedOn w:val="a"/>
    <w:next w:val="a"/>
    <w:link w:val="a5"/>
    <w:uiPriority w:val="10"/>
    <w:qFormat/>
    <w:pPr>
      <w:spacing w:after="80"/>
      <w:contextualSpacing/>
    </w:pPr>
    <w:rPr>
      <w:rFonts w:ascii="Arial" w:eastAsia="Arial" w:hAnsi="Arial" w:cs="Arial"/>
      <w:spacing w:val="-10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Pr>
      <w:rFonts w:ascii="Arial" w:eastAsia="Arial" w:hAnsi="Arial" w:cs="Arial"/>
      <w:spacing w:val="-10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Pr>
      <w:color w:val="595959" w:themeColor="text1" w:themeTint="A6"/>
      <w:spacing w:val="15"/>
      <w:sz w:val="28"/>
      <w:szCs w:val="28"/>
    </w:rPr>
  </w:style>
  <w:style w:type="paragraph" w:styleId="22">
    <w:name w:val="Quote"/>
    <w:basedOn w:val="a"/>
    <w:next w:val="a"/>
    <w:link w:val="23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3">
    <w:name w:val="Цитата 2 Знак"/>
    <w:basedOn w:val="a0"/>
    <w:link w:val="22"/>
    <w:uiPriority w:val="29"/>
    <w:rPr>
      <w:i/>
      <w:iCs/>
      <w:color w:val="404040" w:themeColor="text1" w:themeTint="BF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styleId="a9">
    <w:name w:val="Intense Emphasis"/>
    <w:basedOn w:val="a0"/>
    <w:uiPriority w:val="21"/>
    <w:qFormat/>
    <w:rPr>
      <w:i/>
      <w:iCs/>
      <w:color w:val="365F9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ab">
    <w:name w:val="Выделенная цитата Знак"/>
    <w:basedOn w:val="a0"/>
    <w:link w:val="aa"/>
    <w:uiPriority w:val="30"/>
    <w:rPr>
      <w:i/>
      <w:iCs/>
      <w:color w:val="365F91" w:themeColor="accent1" w:themeShade="BF"/>
    </w:rPr>
  </w:style>
  <w:style w:type="character" w:styleId="ac">
    <w:name w:val="Intense Reference"/>
    <w:basedOn w:val="a0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ad">
    <w:name w:val="No Spacing"/>
    <w:basedOn w:val="a"/>
    <w:uiPriority w:val="1"/>
    <w:qFormat/>
  </w:style>
  <w:style w:type="character" w:styleId="ae">
    <w:name w:val="Subtle Emphasis"/>
    <w:basedOn w:val="a0"/>
    <w:uiPriority w:val="19"/>
    <w:qFormat/>
    <w:rPr>
      <w:i/>
      <w:iCs/>
      <w:color w:val="404040" w:themeColor="text1" w:themeTint="BF"/>
    </w:rPr>
  </w:style>
  <w:style w:type="character" w:styleId="af">
    <w:name w:val="Emphasis"/>
    <w:basedOn w:val="a0"/>
    <w:uiPriority w:val="20"/>
    <w:qFormat/>
    <w:rPr>
      <w:i/>
      <w:iCs/>
    </w:rPr>
  </w:style>
  <w:style w:type="character" w:styleId="af0">
    <w:name w:val="Strong"/>
    <w:qFormat/>
    <w:rPr>
      <w:b/>
      <w:bCs/>
    </w:rPr>
  </w:style>
  <w:style w:type="character" w:styleId="af1">
    <w:name w:val="Subtle Reference"/>
    <w:basedOn w:val="a0"/>
    <w:uiPriority w:val="31"/>
    <w:qFormat/>
    <w:rPr>
      <w:smallCaps/>
      <w:color w:val="5A5A5A" w:themeColor="text1" w:themeTint="A5"/>
    </w:rPr>
  </w:style>
  <w:style w:type="character" w:styleId="af2">
    <w:name w:val="Book Title"/>
    <w:basedOn w:val="a0"/>
    <w:uiPriority w:val="33"/>
    <w:qFormat/>
    <w:rPr>
      <w:b/>
      <w:bCs/>
      <w:i/>
      <w:iCs/>
      <w:spacing w:val="5"/>
    </w:rPr>
  </w:style>
  <w:style w:type="paragraph" w:styleId="af3">
    <w:name w:val="header"/>
    <w:basedOn w:val="a"/>
    <w:link w:val="12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2">
    <w:name w:val="Верхний колонтитул Знак1"/>
    <w:basedOn w:val="a0"/>
    <w:link w:val="af3"/>
    <w:uiPriority w:val="99"/>
  </w:style>
  <w:style w:type="paragraph" w:styleId="af4">
    <w:name w:val="footer"/>
    <w:basedOn w:val="a"/>
    <w:link w:val="13"/>
    <w:pPr>
      <w:tabs>
        <w:tab w:val="center" w:pos="4677"/>
        <w:tab w:val="right" w:pos="9355"/>
      </w:tabs>
    </w:pPr>
    <w:rPr>
      <w:rFonts w:ascii="NTTimes/Cyrillic" w:hAnsi="NTTimes/Cyrillic" w:cs="NTTimes/Cyrillic"/>
      <w:lang w:val="en-US"/>
    </w:rPr>
  </w:style>
  <w:style w:type="character" w:customStyle="1" w:styleId="13">
    <w:name w:val="Нижний колонтитул Знак1"/>
    <w:basedOn w:val="a0"/>
    <w:link w:val="af4"/>
    <w:uiPriority w:val="99"/>
  </w:style>
  <w:style w:type="paragraph" w:styleId="af5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styleId="af6">
    <w:name w:val="footnote text"/>
    <w:basedOn w:val="a"/>
    <w:link w:val="14"/>
    <w:rPr>
      <w:sz w:val="20"/>
      <w:szCs w:val="20"/>
    </w:rPr>
  </w:style>
  <w:style w:type="character" w:customStyle="1" w:styleId="14">
    <w:name w:val="Текст сноски Знак1"/>
    <w:basedOn w:val="a0"/>
    <w:link w:val="af6"/>
    <w:uiPriority w:val="99"/>
    <w:semiHidden/>
    <w:rPr>
      <w:sz w:val="20"/>
      <w:szCs w:val="20"/>
    </w:rPr>
  </w:style>
  <w:style w:type="character" w:styleId="af7">
    <w:name w:val="footnote reference"/>
    <w:rPr>
      <w:vertAlign w:val="superscript"/>
    </w:rPr>
  </w:style>
  <w:style w:type="paragraph" w:styleId="af8">
    <w:name w:val="endnote text"/>
    <w:basedOn w:val="a"/>
    <w:link w:val="af9"/>
    <w:uiPriority w:val="99"/>
    <w:semiHidden/>
    <w:unhideWhenUsed/>
    <w:rPr>
      <w:sz w:val="20"/>
      <w:szCs w:val="20"/>
    </w:rPr>
  </w:style>
  <w:style w:type="character" w:customStyle="1" w:styleId="af9">
    <w:name w:val="Текст концевой сноски Знак"/>
    <w:basedOn w:val="a0"/>
    <w:link w:val="af8"/>
    <w:uiPriority w:val="99"/>
    <w:semiHidden/>
    <w:rPr>
      <w:sz w:val="20"/>
      <w:szCs w:val="20"/>
    </w:rPr>
  </w:style>
  <w:style w:type="character" w:styleId="afa">
    <w:name w:val="endnote reference"/>
    <w:rPr>
      <w:vertAlign w:val="superscript"/>
    </w:rPr>
  </w:style>
  <w:style w:type="character" w:styleId="afb">
    <w:name w:val="Hyperlink"/>
    <w:rPr>
      <w:color w:val="0000FF"/>
      <w:u w:val="single"/>
    </w:rPr>
  </w:style>
  <w:style w:type="character" w:styleId="afc">
    <w:name w:val="FollowedHyperlink"/>
    <w:basedOn w:val="a0"/>
    <w:uiPriority w:val="99"/>
    <w:semiHidden/>
    <w:unhideWhenUsed/>
    <w:rPr>
      <w:color w:val="800080" w:themeColor="followedHyperlink"/>
      <w:u w:val="single"/>
    </w:rPr>
  </w:style>
  <w:style w:type="paragraph" w:styleId="15">
    <w:name w:val="toc 1"/>
    <w:basedOn w:val="a"/>
    <w:next w:val="a"/>
    <w:uiPriority w:val="39"/>
    <w:unhideWhenUsed/>
    <w:pPr>
      <w:spacing w:after="100"/>
    </w:pPr>
  </w:style>
  <w:style w:type="paragraph" w:styleId="24">
    <w:name w:val="toc 2"/>
    <w:basedOn w:val="a"/>
    <w:next w:val="a"/>
    <w:uiPriority w:val="39"/>
    <w:unhideWhenUsed/>
    <w:pPr>
      <w:spacing w:after="100"/>
      <w:ind w:left="220"/>
    </w:pPr>
  </w:style>
  <w:style w:type="paragraph" w:styleId="32">
    <w:name w:val="toc 3"/>
    <w:basedOn w:val="a"/>
    <w:next w:val="a"/>
    <w:uiPriority w:val="39"/>
    <w:unhideWhenUsed/>
    <w:pPr>
      <w:spacing w:after="100"/>
      <w:ind w:left="440"/>
    </w:pPr>
  </w:style>
  <w:style w:type="paragraph" w:styleId="42">
    <w:name w:val="toc 4"/>
    <w:basedOn w:val="a"/>
    <w:next w:val="a"/>
    <w:uiPriority w:val="39"/>
    <w:unhideWhenUsed/>
    <w:pPr>
      <w:spacing w:after="100"/>
      <w:ind w:left="660"/>
    </w:pPr>
  </w:style>
  <w:style w:type="paragraph" w:styleId="52">
    <w:name w:val="toc 5"/>
    <w:basedOn w:val="a"/>
    <w:next w:val="a"/>
    <w:uiPriority w:val="39"/>
    <w:unhideWhenUsed/>
    <w:pPr>
      <w:spacing w:after="100"/>
      <w:ind w:left="880"/>
    </w:pPr>
  </w:style>
  <w:style w:type="paragraph" w:styleId="61">
    <w:name w:val="toc 6"/>
    <w:basedOn w:val="a"/>
    <w:next w:val="a"/>
    <w:uiPriority w:val="39"/>
    <w:unhideWhenUsed/>
    <w:pPr>
      <w:spacing w:after="100"/>
      <w:ind w:left="1100"/>
    </w:pPr>
  </w:style>
  <w:style w:type="paragraph" w:styleId="71">
    <w:name w:val="toc 7"/>
    <w:basedOn w:val="a"/>
    <w:next w:val="a"/>
    <w:uiPriority w:val="39"/>
    <w:unhideWhenUsed/>
    <w:pPr>
      <w:spacing w:after="100"/>
      <w:ind w:left="1320"/>
    </w:pPr>
  </w:style>
  <w:style w:type="paragraph" w:styleId="81">
    <w:name w:val="toc 8"/>
    <w:basedOn w:val="a"/>
    <w:next w:val="a"/>
    <w:uiPriority w:val="39"/>
    <w:unhideWhenUsed/>
    <w:pPr>
      <w:spacing w:after="100"/>
      <w:ind w:left="1540"/>
    </w:pPr>
  </w:style>
  <w:style w:type="paragraph" w:styleId="91">
    <w:name w:val="toc 9"/>
    <w:basedOn w:val="a"/>
    <w:next w:val="a"/>
    <w:uiPriority w:val="39"/>
    <w:unhideWhenUsed/>
    <w:pPr>
      <w:spacing w:after="100"/>
      <w:ind w:left="1760"/>
    </w:pPr>
  </w:style>
  <w:style w:type="paragraph" w:styleId="afd">
    <w:name w:val="TOC Heading"/>
    <w:uiPriority w:val="39"/>
    <w:unhideWhenUsed/>
  </w:style>
  <w:style w:type="paragraph" w:styleId="afe">
    <w:name w:val="table of figures"/>
    <w:basedOn w:val="a"/>
    <w:next w:val="a"/>
    <w:uiPriority w:val="99"/>
    <w:unhideWhenUsed/>
  </w:style>
  <w:style w:type="character" w:customStyle="1" w:styleId="WW8Num1z0">
    <w:name w:val="WW8Num1z0"/>
    <w:rPr>
      <w:color w:val="000000"/>
    </w:rPr>
  </w:style>
  <w:style w:type="character" w:customStyle="1" w:styleId="25">
    <w:name w:val="Основной шрифт абзаца2"/>
  </w:style>
  <w:style w:type="character" w:customStyle="1" w:styleId="WW8Num2z0">
    <w:name w:val="WW8Num2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6"/>
      <w:position w:val="0"/>
      <w:sz w:val="24"/>
      <w:szCs w:val="24"/>
      <w:u w:val="none"/>
      <w:vertAlign w:val="baseline"/>
    </w:rPr>
  </w:style>
  <w:style w:type="character" w:customStyle="1" w:styleId="WW8Num3z0">
    <w:name w:val="WW8Num3z0"/>
    <w:rPr>
      <w:color w:val="000000"/>
    </w:rPr>
  </w:style>
  <w:style w:type="character" w:customStyle="1" w:styleId="WW8Num4z0">
    <w:name w:val="WW8Num4z0"/>
    <w:rPr>
      <w:b/>
      <w:bCs/>
      <w:i w:val="0"/>
      <w:iCs w:val="0"/>
    </w:rPr>
  </w:style>
  <w:style w:type="character" w:customStyle="1" w:styleId="WW8Num7z0">
    <w:name w:val="WW8Num7z0"/>
    <w:rPr>
      <w:color w:val="000000"/>
    </w:rPr>
  </w:style>
  <w:style w:type="character" w:customStyle="1" w:styleId="WW8Num8z0">
    <w:name w:val="WW8Num8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WW8Num9z0">
    <w:name w:val="WW8Num9z0"/>
    <w:rPr>
      <w:color w:val="000000"/>
    </w:rPr>
  </w:style>
  <w:style w:type="character" w:customStyle="1" w:styleId="WW8Num10z0">
    <w:name w:val="WW8Num10z0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position w:val="0"/>
      <w:sz w:val="24"/>
      <w:szCs w:val="24"/>
      <w:u w:val="none"/>
      <w:vertAlign w:val="baseline"/>
    </w:rPr>
  </w:style>
  <w:style w:type="character" w:customStyle="1" w:styleId="WW8Num11z0">
    <w:name w:val="WW8Num11z0"/>
    <w:rPr>
      <w:rFonts w:ascii="Times New Roman" w:hAnsi="Times New Roman" w:cs="Times New Roman"/>
      <w:b/>
      <w:bCs/>
      <w:i w:val="0"/>
      <w:iCs w:val="0"/>
      <w:sz w:val="24"/>
      <w:szCs w:val="24"/>
      <w:u w:val="none"/>
    </w:rPr>
  </w:style>
  <w:style w:type="character" w:customStyle="1" w:styleId="16">
    <w:name w:val="Основной шрифт абзаца1"/>
  </w:style>
  <w:style w:type="character" w:customStyle="1" w:styleId="26">
    <w:name w:val="Основной текст 2 Знак"/>
    <w:rPr>
      <w:sz w:val="24"/>
      <w:szCs w:val="24"/>
      <w:lang w:val="ru-RU" w:bidi="ar-SA"/>
    </w:rPr>
  </w:style>
  <w:style w:type="character" w:customStyle="1" w:styleId="33">
    <w:name w:val="Основной текст с отступом 3 Знак"/>
    <w:rPr>
      <w:sz w:val="16"/>
      <w:szCs w:val="16"/>
      <w:lang w:val="ru-RU" w:bidi="ar-SA"/>
    </w:rPr>
  </w:style>
  <w:style w:type="character" w:customStyle="1" w:styleId="aff">
    <w:name w:val="Название Знак"/>
    <w:rPr>
      <w:b/>
      <w:bCs/>
      <w:sz w:val="28"/>
      <w:szCs w:val="28"/>
      <w:lang w:val="ru-RU" w:bidi="ar-SA"/>
    </w:rPr>
  </w:style>
  <w:style w:type="character" w:customStyle="1" w:styleId="17">
    <w:name w:val="Знак примечания1"/>
    <w:rPr>
      <w:sz w:val="16"/>
      <w:szCs w:val="16"/>
    </w:rPr>
  </w:style>
  <w:style w:type="character" w:customStyle="1" w:styleId="aff0">
    <w:name w:val="Текст примечания Знак"/>
    <w:rPr>
      <w:color w:val="000000"/>
    </w:rPr>
  </w:style>
  <w:style w:type="character" w:customStyle="1" w:styleId="aff1">
    <w:name w:val="Тема примечания Знак"/>
    <w:rPr>
      <w:b/>
      <w:bCs/>
      <w:color w:val="000000"/>
    </w:rPr>
  </w:style>
  <w:style w:type="character" w:customStyle="1" w:styleId="aff2">
    <w:name w:val="Текст выноски Знак"/>
    <w:rPr>
      <w:rFonts w:ascii="Segoe UI" w:hAnsi="Segoe UI" w:cs="Segoe UI"/>
      <w:color w:val="000000"/>
      <w:sz w:val="18"/>
      <w:szCs w:val="18"/>
    </w:rPr>
  </w:style>
  <w:style w:type="character" w:customStyle="1" w:styleId="34">
    <w:name w:val="Основной текст 3 Знак"/>
    <w:rPr>
      <w:color w:val="000000"/>
      <w:sz w:val="16"/>
      <w:szCs w:val="16"/>
    </w:rPr>
  </w:style>
  <w:style w:type="character" w:customStyle="1" w:styleId="aff3">
    <w:name w:val="Основной текст с отступом Знак"/>
    <w:rPr>
      <w:sz w:val="24"/>
      <w:szCs w:val="24"/>
    </w:rPr>
  </w:style>
  <w:style w:type="character" w:customStyle="1" w:styleId="aff4">
    <w:name w:val="Основной текст_"/>
    <w:rPr>
      <w:shd w:val="clear" w:color="auto" w:fill="FFFFFF"/>
    </w:rPr>
  </w:style>
  <w:style w:type="character" w:customStyle="1" w:styleId="aff5">
    <w:name w:val="Основной текст +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27">
    <w:name w:val="Основной текст (2) + Не полужирный"/>
    <w:rPr>
      <w:rFonts w:ascii="Times New Roman" w:hAnsi="Times New Roman" w:cs="Times New Roman"/>
      <w:b/>
      <w:bCs/>
      <w:color w:val="000000"/>
      <w:spacing w:val="0"/>
      <w:position w:val="0"/>
      <w:sz w:val="24"/>
      <w:shd w:val="clear" w:color="auto" w:fill="FFFFFF"/>
      <w:vertAlign w:val="baseline"/>
      <w:lang w:val="ru-RU"/>
    </w:rPr>
  </w:style>
  <w:style w:type="character" w:customStyle="1" w:styleId="aff6">
    <w:name w:val="Верх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7">
    <w:name w:val="Нижний колонтитул Знак"/>
    <w:rPr>
      <w:rFonts w:ascii="NTTimes/Cyrillic" w:hAnsi="NTTimes/Cyrillic" w:cs="NTTimes/Cyrillic"/>
      <w:sz w:val="24"/>
      <w:szCs w:val="24"/>
      <w:lang w:val="en-US"/>
    </w:rPr>
  </w:style>
  <w:style w:type="character" w:customStyle="1" w:styleId="aff8">
    <w:name w:val="Текст сноски Знак"/>
    <w:rPr>
      <w:color w:val="000000"/>
    </w:rPr>
  </w:style>
  <w:style w:type="character" w:customStyle="1" w:styleId="aff9">
    <w:name w:val="Символ сноски"/>
    <w:rPr>
      <w:vertAlign w:val="superscript"/>
    </w:rPr>
  </w:style>
  <w:style w:type="character" w:customStyle="1" w:styleId="18">
    <w:name w:val="Знак сноски1"/>
    <w:rPr>
      <w:vertAlign w:val="superscript"/>
    </w:rPr>
  </w:style>
  <w:style w:type="character" w:styleId="affa">
    <w:name w:val="line number"/>
  </w:style>
  <w:style w:type="character" w:customStyle="1" w:styleId="affb">
    <w:name w:val="Символ концевой сноски"/>
    <w:rPr>
      <w:vertAlign w:val="superscript"/>
    </w:rPr>
  </w:style>
  <w:style w:type="character" w:customStyle="1" w:styleId="WW-">
    <w:name w:val="WW-Символ концевой сноски"/>
  </w:style>
  <w:style w:type="character" w:customStyle="1" w:styleId="19">
    <w:name w:val="Знак концевой сноски1"/>
    <w:rPr>
      <w:vertAlign w:val="superscript"/>
    </w:rPr>
  </w:style>
  <w:style w:type="paragraph" w:customStyle="1" w:styleId="28">
    <w:name w:val="Заголовок2"/>
    <w:basedOn w:val="a"/>
    <w:next w:val="affc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ffc">
    <w:name w:val="Body Text"/>
    <w:basedOn w:val="a"/>
    <w:pPr>
      <w:spacing w:after="140" w:line="276" w:lineRule="auto"/>
    </w:pPr>
  </w:style>
  <w:style w:type="paragraph" w:styleId="affd">
    <w:name w:val="List"/>
    <w:basedOn w:val="affc"/>
    <w:rPr>
      <w:rFonts w:cs="Lucida Sans"/>
    </w:rPr>
  </w:style>
  <w:style w:type="paragraph" w:customStyle="1" w:styleId="29">
    <w:name w:val="Указатель2"/>
    <w:basedOn w:val="a"/>
    <w:pPr>
      <w:suppressLineNumbers/>
    </w:pPr>
    <w:rPr>
      <w:rFonts w:cs="Lucida Sans"/>
      <w:lang w:val="en-US" w:eastAsia="en-US" w:bidi="en-US"/>
    </w:rPr>
  </w:style>
  <w:style w:type="paragraph" w:customStyle="1" w:styleId="1a">
    <w:name w:val="Заголовок1"/>
    <w:basedOn w:val="a"/>
    <w:next w:val="affc"/>
    <w:pPr>
      <w:jc w:val="center"/>
    </w:pPr>
    <w:rPr>
      <w:b/>
      <w:bCs/>
      <w:sz w:val="28"/>
      <w:szCs w:val="28"/>
    </w:rPr>
  </w:style>
  <w:style w:type="paragraph" w:customStyle="1" w:styleId="1b">
    <w:name w:val="Название объекта1"/>
    <w:basedOn w:val="a"/>
    <w:pPr>
      <w:suppressLineNumbers/>
      <w:spacing w:before="120" w:after="120"/>
    </w:pPr>
    <w:rPr>
      <w:rFonts w:cs="Lucida Sans"/>
      <w:i/>
      <w:iCs/>
    </w:rPr>
  </w:style>
  <w:style w:type="paragraph" w:customStyle="1" w:styleId="1c">
    <w:name w:val="Указатель1"/>
    <w:basedOn w:val="a"/>
    <w:pPr>
      <w:suppressLineNumbers/>
    </w:pPr>
    <w:rPr>
      <w:rFonts w:cs="Lucida Sans"/>
      <w:lang w:val="en-US" w:bidi="en-US"/>
    </w:rPr>
  </w:style>
  <w:style w:type="paragraph" w:customStyle="1" w:styleId="210">
    <w:name w:val="Основной текст 21"/>
    <w:basedOn w:val="a"/>
    <w:pPr>
      <w:spacing w:after="120" w:line="480" w:lineRule="auto"/>
    </w:pPr>
  </w:style>
  <w:style w:type="paragraph" w:customStyle="1" w:styleId="310">
    <w:name w:val="Основной текст с отступом 31"/>
    <w:basedOn w:val="a"/>
    <w:pPr>
      <w:spacing w:after="120"/>
      <w:ind w:left="283"/>
    </w:pPr>
    <w:rPr>
      <w:sz w:val="16"/>
      <w:szCs w:val="16"/>
    </w:rPr>
  </w:style>
  <w:style w:type="paragraph" w:styleId="2a">
    <w:name w:val="Body Text 2"/>
    <w:basedOn w:val="a"/>
    <w:pPr>
      <w:ind w:firstLine="567"/>
      <w:jc w:val="both"/>
    </w:pPr>
    <w:rPr>
      <w:sz w:val="22"/>
      <w:szCs w:val="20"/>
    </w:rPr>
  </w:style>
  <w:style w:type="paragraph" w:customStyle="1" w:styleId="1d">
    <w:name w:val="Текст примечания1"/>
    <w:basedOn w:val="a"/>
    <w:rPr>
      <w:sz w:val="20"/>
      <w:szCs w:val="20"/>
    </w:rPr>
  </w:style>
  <w:style w:type="paragraph" w:styleId="affe">
    <w:name w:val="annotation subject"/>
    <w:basedOn w:val="1d"/>
    <w:next w:val="1d"/>
    <w:rPr>
      <w:b/>
      <w:bCs/>
    </w:rPr>
  </w:style>
  <w:style w:type="paragraph" w:styleId="afff">
    <w:name w:val="Balloon Text"/>
    <w:basedOn w:val="a"/>
    <w:rPr>
      <w:rFonts w:ascii="Segoe UI" w:hAnsi="Segoe UI" w:cs="Segoe UI"/>
      <w:sz w:val="18"/>
      <w:szCs w:val="18"/>
    </w:rPr>
  </w:style>
  <w:style w:type="paragraph" w:customStyle="1" w:styleId="311">
    <w:name w:val="Основной текст 31"/>
    <w:basedOn w:val="a"/>
    <w:pPr>
      <w:spacing w:after="120"/>
    </w:pPr>
    <w:rPr>
      <w:sz w:val="16"/>
      <w:szCs w:val="16"/>
    </w:rPr>
  </w:style>
  <w:style w:type="paragraph" w:styleId="afff0">
    <w:name w:val="Body Text Indent"/>
    <w:basedOn w:val="a"/>
    <w:pPr>
      <w:ind w:right="-57" w:firstLine="720"/>
      <w:jc w:val="both"/>
    </w:pPr>
  </w:style>
  <w:style w:type="paragraph" w:customStyle="1" w:styleId="2b">
    <w:name w:val="Основной текст2"/>
    <w:basedOn w:val="a"/>
    <w:pPr>
      <w:widowControl w:val="0"/>
      <w:shd w:val="clear" w:color="auto" w:fill="FFFFFF"/>
      <w:spacing w:before="300" w:line="274" w:lineRule="exact"/>
      <w:ind w:hanging="1140"/>
      <w:jc w:val="both"/>
    </w:pPr>
    <w:rPr>
      <w:sz w:val="20"/>
      <w:szCs w:val="20"/>
    </w:rPr>
  </w:style>
  <w:style w:type="paragraph" w:styleId="afff1">
    <w:name w:val="Revision"/>
    <w:rPr>
      <w:rFonts w:ascii="NTTimes/Cyrillic" w:hAnsi="NTTimes/Cyrillic" w:cs="NTTimes/Cyrillic"/>
      <w:sz w:val="24"/>
      <w:szCs w:val="24"/>
      <w:lang w:val="en-US"/>
    </w:rPr>
  </w:style>
  <w:style w:type="paragraph" w:customStyle="1" w:styleId="afff2">
    <w:name w:val="Колонтитул"/>
    <w:basedOn w:val="a"/>
    <w:pPr>
      <w:suppressLineNumbers/>
      <w:tabs>
        <w:tab w:val="center" w:pos="4819"/>
        <w:tab w:val="right" w:pos="9638"/>
      </w:tabs>
    </w:pPr>
  </w:style>
  <w:style w:type="paragraph" w:customStyle="1" w:styleId="afff3">
    <w:name w:val="Содержимое таблицы"/>
    <w:basedOn w:val="a"/>
    <w:pPr>
      <w:widowControl w:val="0"/>
      <w:suppressLineNumbers/>
    </w:pPr>
  </w:style>
  <w:style w:type="paragraph" w:customStyle="1" w:styleId="afff4">
    <w:name w:val="Заголовок таблицы"/>
    <w:basedOn w:val="afff3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1020</Words>
  <Characters>5814</Characters>
  <Application>Microsoft Office Word</Application>
  <DocSecurity>4</DocSecurity>
  <Lines>48</Lines>
  <Paragraphs>13</Paragraphs>
  <ScaleCrop>false</ScaleCrop>
  <Company/>
  <LinksUpToDate>false</LinksUpToDate>
  <CharactersWithSpaces>6821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№____</dc:title>
  <dc:creator>upr12</dc:creator>
  <cp:lastModifiedBy>РАД АО</cp:lastModifiedBy>
  <cp:revision>2</cp:revision>
  <dcterms:created xsi:type="dcterms:W3CDTF">2025-02-06T07:41:00Z</dcterms:created>
  <dcterms:modified xsi:type="dcterms:W3CDTF">2025-02-06T07:41:00Z</dcterms:modified>
  <cp:version>1048576</cp:version>
</cp:coreProperties>
</file>