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08A6" w14:textId="1849A378" w:rsidR="009A14BF" w:rsidRPr="00254F69" w:rsidRDefault="009A14BF" w:rsidP="00FF4BD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1D1B40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 xml:space="preserve"> о задатке </w:t>
      </w:r>
    </w:p>
    <w:p w14:paraId="67F4AB4C" w14:textId="77777777" w:rsidR="00FF4BDF" w:rsidRPr="00254F69" w:rsidRDefault="00FF4BDF" w:rsidP="00FF4BDF">
      <w:pPr>
        <w:jc w:val="center"/>
        <w:rPr>
          <w:b/>
          <w:bCs/>
          <w:sz w:val="22"/>
          <w:szCs w:val="22"/>
        </w:rPr>
      </w:pPr>
    </w:p>
    <w:p w14:paraId="305C69A3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p w14:paraId="644D62B0" w14:textId="2A102224" w:rsidR="00FF4BDF" w:rsidRPr="00254F69" w:rsidRDefault="005A0F4E" w:rsidP="00FF4BDF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г</w:t>
      </w:r>
      <w:r w:rsidR="00FF4BDF" w:rsidRPr="00254F69">
        <w:rPr>
          <w:sz w:val="22"/>
          <w:szCs w:val="22"/>
        </w:rPr>
        <w:t xml:space="preserve">ород </w:t>
      </w:r>
      <w:r>
        <w:rPr>
          <w:sz w:val="22"/>
          <w:szCs w:val="22"/>
        </w:rPr>
        <w:t>Невельск</w:t>
      </w:r>
      <w:r w:rsidR="00FF4BDF" w:rsidRPr="00254F69">
        <w:rPr>
          <w:sz w:val="22"/>
          <w:szCs w:val="22"/>
        </w:rPr>
        <w:t xml:space="preserve">                                                             </w:t>
      </w:r>
      <w:r w:rsidR="001D1B40">
        <w:rPr>
          <w:sz w:val="22"/>
          <w:szCs w:val="22"/>
        </w:rPr>
        <w:t xml:space="preserve">                          </w:t>
      </w:r>
      <w:proofErr w:type="gramStart"/>
      <w:r w:rsidR="001D1B40">
        <w:rPr>
          <w:sz w:val="22"/>
          <w:szCs w:val="22"/>
        </w:rPr>
        <w:t xml:space="preserve">   </w:t>
      </w:r>
      <w:r w:rsidR="00FF4BDF" w:rsidRPr="00254F69">
        <w:rPr>
          <w:sz w:val="22"/>
          <w:szCs w:val="22"/>
        </w:rPr>
        <w:t>«</w:t>
      </w:r>
      <w:proofErr w:type="gramEnd"/>
      <w:r w:rsidR="00FF4BDF" w:rsidRPr="00254F69">
        <w:rPr>
          <w:bCs/>
          <w:sz w:val="22"/>
          <w:szCs w:val="22"/>
        </w:rPr>
        <w:t>____» __________202</w:t>
      </w:r>
      <w:r>
        <w:rPr>
          <w:bCs/>
          <w:sz w:val="22"/>
          <w:szCs w:val="22"/>
        </w:rPr>
        <w:t>5</w:t>
      </w:r>
      <w:r w:rsidR="00FF4BDF" w:rsidRPr="00254F69">
        <w:rPr>
          <w:bCs/>
          <w:sz w:val="22"/>
          <w:szCs w:val="22"/>
        </w:rPr>
        <w:t xml:space="preserve"> года</w:t>
      </w:r>
    </w:p>
    <w:p w14:paraId="07CFD6ED" w14:textId="77777777" w:rsidR="00FF4BDF" w:rsidRPr="00254F69" w:rsidRDefault="00FF4BDF" w:rsidP="00FF4B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B750588" w14:textId="77777777" w:rsidR="00FF4BDF" w:rsidRPr="00254F69" w:rsidRDefault="00FF4BDF" w:rsidP="00FF4BDF">
      <w:pPr>
        <w:tabs>
          <w:tab w:val="center" w:pos="5330"/>
          <w:tab w:val="right" w:pos="9923"/>
        </w:tabs>
        <w:rPr>
          <w:sz w:val="22"/>
          <w:szCs w:val="22"/>
        </w:rPr>
      </w:pPr>
      <w:r w:rsidRPr="00254F69">
        <w:rPr>
          <w:sz w:val="22"/>
          <w:szCs w:val="22"/>
        </w:rPr>
        <w:tab/>
      </w:r>
    </w:p>
    <w:p w14:paraId="63621E87" w14:textId="06729DCD" w:rsidR="00FF4BDF" w:rsidRPr="006E7707" w:rsidRDefault="009A14BF" w:rsidP="005A0F4E">
      <w:pPr>
        <w:autoSpaceDE/>
        <w:autoSpaceDN/>
        <w:ind w:firstLine="720"/>
        <w:jc w:val="both"/>
        <w:rPr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Организатор торгоов –</w:t>
      </w:r>
      <w:r w:rsidR="001D1B40">
        <w:rPr>
          <w:b/>
          <w:bCs/>
          <w:noProof/>
          <w:sz w:val="22"/>
          <w:szCs w:val="22"/>
        </w:rPr>
        <w:t xml:space="preserve"> конкурсного</w:t>
      </w:r>
      <w:r>
        <w:rPr>
          <w:b/>
          <w:bCs/>
          <w:noProof/>
          <w:sz w:val="22"/>
          <w:szCs w:val="22"/>
        </w:rPr>
        <w:t xml:space="preserve"> управляющий </w:t>
      </w:r>
      <w:r w:rsidR="001D1B40">
        <w:rPr>
          <w:b/>
          <w:bCs/>
          <w:noProof/>
          <w:sz w:val="22"/>
          <w:szCs w:val="22"/>
        </w:rPr>
        <w:t xml:space="preserve">ИП Главы КФХ </w:t>
      </w:r>
      <w:r w:rsidR="005A0F4E" w:rsidRPr="005A0F4E">
        <w:rPr>
          <w:b/>
          <w:bCs/>
          <w:noProof/>
          <w:sz w:val="22"/>
          <w:szCs w:val="22"/>
        </w:rPr>
        <w:t>Гузак</w:t>
      </w:r>
      <w:r w:rsidR="001D1B40">
        <w:rPr>
          <w:b/>
          <w:bCs/>
          <w:noProof/>
          <w:sz w:val="22"/>
          <w:szCs w:val="22"/>
        </w:rPr>
        <w:t>а</w:t>
      </w:r>
      <w:r w:rsidR="005A0F4E" w:rsidRPr="005A0F4E">
        <w:rPr>
          <w:b/>
          <w:bCs/>
          <w:noProof/>
          <w:sz w:val="22"/>
          <w:szCs w:val="22"/>
        </w:rPr>
        <w:t xml:space="preserve"> Дмитри</w:t>
      </w:r>
      <w:r w:rsidR="001D1B40">
        <w:rPr>
          <w:b/>
          <w:bCs/>
          <w:noProof/>
          <w:sz w:val="22"/>
          <w:szCs w:val="22"/>
        </w:rPr>
        <w:t>я</w:t>
      </w:r>
      <w:r w:rsidR="005A0F4E" w:rsidRPr="005A0F4E">
        <w:rPr>
          <w:b/>
          <w:bCs/>
          <w:noProof/>
          <w:sz w:val="22"/>
          <w:szCs w:val="22"/>
        </w:rPr>
        <w:t xml:space="preserve"> Васильевич</w:t>
      </w:r>
      <w:r w:rsidR="001D1B40">
        <w:rPr>
          <w:b/>
          <w:bCs/>
          <w:noProof/>
          <w:sz w:val="22"/>
          <w:szCs w:val="22"/>
        </w:rPr>
        <w:t>а</w:t>
      </w:r>
      <w:r w:rsidR="005A0F4E" w:rsidRPr="005A0F4E">
        <w:rPr>
          <w:b/>
          <w:bCs/>
          <w:noProof/>
          <w:sz w:val="22"/>
          <w:szCs w:val="22"/>
        </w:rPr>
        <w:t xml:space="preserve"> </w:t>
      </w:r>
      <w:r w:rsidR="005A0F4E" w:rsidRPr="005A0F4E">
        <w:rPr>
          <w:bCs/>
          <w:noProof/>
          <w:sz w:val="22"/>
          <w:szCs w:val="22"/>
        </w:rPr>
        <w:t>(дата рождения 04.08.1967, место рождения с. Лопушно Вишницкого р-на, Черновицкой обл., ОГРН 315650900004744, ИНН 650500055091, адрес: 694742, Сахалинская обл, г Невельск, ул. Казакевича, д. 19)</w:t>
      </w:r>
      <w:r w:rsidR="005A0F4E" w:rsidRPr="005A0F4E">
        <w:rPr>
          <w:b/>
          <w:bCs/>
          <w:noProof/>
          <w:sz w:val="22"/>
          <w:szCs w:val="22"/>
        </w:rPr>
        <w:t xml:space="preserve"> </w:t>
      </w:r>
      <w:r w:rsidR="00FF4BDF" w:rsidRPr="00387D49">
        <w:rPr>
          <w:b/>
          <w:bCs/>
          <w:noProof/>
          <w:sz w:val="22"/>
          <w:szCs w:val="22"/>
        </w:rPr>
        <w:t>Карлагин Серге</w:t>
      </w:r>
      <w:r w:rsidR="001D1B40">
        <w:rPr>
          <w:b/>
          <w:bCs/>
          <w:noProof/>
          <w:sz w:val="22"/>
          <w:szCs w:val="22"/>
        </w:rPr>
        <w:t>й</w:t>
      </w:r>
      <w:r w:rsidR="00FF4BDF" w:rsidRPr="00387D49">
        <w:rPr>
          <w:b/>
          <w:bCs/>
          <w:noProof/>
          <w:sz w:val="22"/>
          <w:szCs w:val="22"/>
        </w:rPr>
        <w:t xml:space="preserve"> Сергеевич</w:t>
      </w:r>
      <w:r w:rsidR="00FF4BDF" w:rsidRPr="00254F69">
        <w:rPr>
          <w:bCs/>
          <w:noProof/>
          <w:sz w:val="22"/>
          <w:szCs w:val="22"/>
        </w:rPr>
        <w:t xml:space="preserve"> (ИНН 540446010615, СНИЛС 140-910-671 32, адрес для направления корреспонденции: 6300</w:t>
      </w:r>
      <w:r w:rsidR="00FF4BDF">
        <w:rPr>
          <w:bCs/>
          <w:noProof/>
          <w:sz w:val="22"/>
          <w:szCs w:val="22"/>
        </w:rPr>
        <w:t>73</w:t>
      </w:r>
      <w:r w:rsidR="00FF4BDF" w:rsidRPr="00254F69">
        <w:rPr>
          <w:bCs/>
          <w:noProof/>
          <w:sz w:val="22"/>
          <w:szCs w:val="22"/>
        </w:rPr>
        <w:t xml:space="preserve">, Новосибирская обл, г. Новосибирск, а/я </w:t>
      </w:r>
      <w:r w:rsidR="00FF4BDF">
        <w:rPr>
          <w:bCs/>
          <w:noProof/>
          <w:sz w:val="22"/>
          <w:szCs w:val="22"/>
        </w:rPr>
        <w:t>19</w:t>
      </w:r>
      <w:r w:rsidR="00FF4BDF" w:rsidRPr="00254F69">
        <w:rPr>
          <w:bCs/>
          <w:noProof/>
          <w:sz w:val="22"/>
          <w:szCs w:val="22"/>
        </w:rPr>
        <w:t>), член Ассоциации арбитражных управляющих "СИБИРСКИЙ ЦЕНТР ЭКСПЕРТОВ АНТИКРИЗИСНОГО УПРАВЛЕНИЯ" (ИНН 5406245522, ОГРН 1035402470036, Адрес СРО АУ 630091, г. Новосибирск, ул. Писарева, д. 4), действующ</w:t>
      </w:r>
      <w:r w:rsidR="001D1B40">
        <w:rPr>
          <w:bCs/>
          <w:noProof/>
          <w:sz w:val="22"/>
          <w:szCs w:val="22"/>
        </w:rPr>
        <w:t>ий</w:t>
      </w:r>
      <w:r w:rsidR="00FF4BDF" w:rsidRPr="00254F69">
        <w:rPr>
          <w:bCs/>
          <w:noProof/>
          <w:sz w:val="22"/>
          <w:szCs w:val="22"/>
        </w:rPr>
        <w:t xml:space="preserve"> на основании </w:t>
      </w:r>
      <w:r w:rsidR="00606C61" w:rsidRPr="00606C61">
        <w:rPr>
          <w:bCs/>
          <w:noProof/>
          <w:sz w:val="22"/>
          <w:szCs w:val="22"/>
        </w:rPr>
        <w:t>Арбитражного суда Сахалинской области от 29.08.2023 г. по делу № А59-456/2022</w:t>
      </w:r>
      <w:r w:rsidR="00FF4BDF" w:rsidRPr="00254F69">
        <w:rPr>
          <w:sz w:val="22"/>
          <w:szCs w:val="22"/>
        </w:rPr>
        <w:t>, именуем</w:t>
      </w:r>
      <w:r w:rsidR="00FF4BDF">
        <w:rPr>
          <w:sz w:val="22"/>
          <w:szCs w:val="22"/>
        </w:rPr>
        <w:t>ый</w:t>
      </w:r>
      <w:r w:rsidR="00FF4BDF" w:rsidRPr="00254F69">
        <w:rPr>
          <w:sz w:val="22"/>
          <w:szCs w:val="22"/>
        </w:rPr>
        <w:t xml:space="preserve"> в дальнейшем </w:t>
      </w:r>
      <w:r w:rsidR="00FF4BDF" w:rsidRPr="00254F69">
        <w:rPr>
          <w:b/>
          <w:bCs/>
          <w:sz w:val="22"/>
          <w:szCs w:val="22"/>
        </w:rPr>
        <w:t>«</w:t>
      </w:r>
      <w:r w:rsidR="001D1B40">
        <w:rPr>
          <w:b/>
          <w:bCs/>
          <w:sz w:val="22"/>
          <w:szCs w:val="22"/>
        </w:rPr>
        <w:t>Организатор торгов</w:t>
      </w:r>
      <w:r w:rsidR="00FF4BDF" w:rsidRPr="00254F69">
        <w:rPr>
          <w:b/>
          <w:bCs/>
          <w:sz w:val="22"/>
          <w:szCs w:val="22"/>
        </w:rPr>
        <w:t xml:space="preserve">», </w:t>
      </w:r>
      <w:r w:rsidR="00FF4BDF" w:rsidRPr="00254F69">
        <w:rPr>
          <w:sz w:val="22"/>
          <w:szCs w:val="22"/>
        </w:rPr>
        <w:t xml:space="preserve">с одной стороны, и </w:t>
      </w:r>
    </w:p>
    <w:p w14:paraId="1361B4FA" w14:textId="2668A813" w:rsidR="001D1B40" w:rsidRPr="00975429" w:rsidRDefault="00FF4BDF" w:rsidP="001D1B40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oftHyphen/>
      </w:r>
      <w:r w:rsidR="001D1B40" w:rsidRPr="001D1B40">
        <w:rPr>
          <w:sz w:val="22"/>
          <w:szCs w:val="22"/>
        </w:rPr>
        <w:t xml:space="preserve"> </w:t>
      </w:r>
      <w:r w:rsidR="001D1B40" w:rsidRPr="00975429">
        <w:rPr>
          <w:sz w:val="22"/>
          <w:szCs w:val="22"/>
        </w:rPr>
        <w:t>и</w:t>
      </w:r>
      <w:r w:rsidR="001D1B40" w:rsidRPr="00975429">
        <w:rPr>
          <w:b/>
          <w:sz w:val="22"/>
          <w:szCs w:val="22"/>
        </w:rPr>
        <w:t>_____________________________________________________________________________________________________________________________________</w:t>
      </w:r>
      <w:r w:rsidR="001D1B40" w:rsidRPr="00975429">
        <w:rPr>
          <w:sz w:val="22"/>
          <w:szCs w:val="22"/>
        </w:rPr>
        <w:t>, именуемый(</w:t>
      </w:r>
      <w:proofErr w:type="spellStart"/>
      <w:r w:rsidR="001D1B40" w:rsidRPr="00975429">
        <w:rPr>
          <w:sz w:val="22"/>
          <w:szCs w:val="22"/>
        </w:rPr>
        <w:t>ое</w:t>
      </w:r>
      <w:proofErr w:type="spellEnd"/>
      <w:r w:rsidR="001D1B40" w:rsidRPr="00975429">
        <w:rPr>
          <w:sz w:val="22"/>
          <w:szCs w:val="22"/>
        </w:rPr>
        <w:t>) в дальнейшем «Претендент», с другой стороны, совместно именуемые «Стороны», заключили настоящий договор (далее – договор) о нижеследующем:</w:t>
      </w:r>
    </w:p>
    <w:p w14:paraId="1152224F" w14:textId="7C27868C" w:rsidR="00FF4BDF" w:rsidRPr="00254F69" w:rsidRDefault="00FF4BDF" w:rsidP="001D1B40">
      <w:pPr>
        <w:autoSpaceDE/>
        <w:autoSpaceDN/>
        <w:ind w:firstLine="720"/>
        <w:jc w:val="both"/>
        <w:rPr>
          <w:sz w:val="22"/>
          <w:szCs w:val="22"/>
        </w:rPr>
      </w:pPr>
      <w:r w:rsidRPr="00254F69">
        <w:rPr>
          <w:sz w:val="22"/>
          <w:szCs w:val="22"/>
        </w:rPr>
        <w:t xml:space="preserve">  </w:t>
      </w:r>
    </w:p>
    <w:p w14:paraId="16FAED2B" w14:textId="77777777" w:rsidR="00FF4BDF" w:rsidRPr="00254F69" w:rsidRDefault="00FF4BDF" w:rsidP="00FF4BDF">
      <w:pPr>
        <w:pStyle w:val="a6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254F69">
        <w:rPr>
          <w:b/>
          <w:bCs/>
          <w:sz w:val="22"/>
          <w:szCs w:val="22"/>
        </w:rPr>
        <w:t>Предмет Договора</w:t>
      </w:r>
    </w:p>
    <w:p w14:paraId="33695480" w14:textId="77777777" w:rsidR="00FF4BDF" w:rsidRPr="00254F69" w:rsidRDefault="00FF4BDF" w:rsidP="00FF4BDF">
      <w:pPr>
        <w:ind w:left="360"/>
        <w:rPr>
          <w:b/>
          <w:bCs/>
          <w:sz w:val="22"/>
          <w:szCs w:val="22"/>
        </w:rPr>
      </w:pPr>
    </w:p>
    <w:p w14:paraId="6ADB9015" w14:textId="05941795" w:rsidR="00FF4BDF" w:rsidRDefault="00FF4BDF" w:rsidP="00FF4BD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254F69">
        <w:rPr>
          <w:sz w:val="22"/>
          <w:szCs w:val="22"/>
        </w:rPr>
        <w:t>1.1. </w:t>
      </w:r>
      <w:r w:rsidR="001D1B40" w:rsidRPr="00975429">
        <w:rPr>
          <w:sz w:val="22"/>
          <w:szCs w:val="22"/>
        </w:rPr>
        <w:t>В соответствии с условиями договора Претендент для участия в торгах в электронной форме по продаже имущества</w:t>
      </w:r>
      <w:r w:rsidR="001D1B40">
        <w:rPr>
          <w:sz w:val="22"/>
          <w:szCs w:val="22"/>
        </w:rPr>
        <w:t xml:space="preserve"> </w:t>
      </w:r>
      <w:r w:rsidR="001D1B40" w:rsidRPr="001D1B40">
        <w:rPr>
          <w:sz w:val="22"/>
          <w:szCs w:val="22"/>
        </w:rPr>
        <w:t xml:space="preserve">ИП Главы КФХ </w:t>
      </w:r>
      <w:proofErr w:type="spellStart"/>
      <w:r w:rsidR="001D1B40" w:rsidRPr="001D1B40">
        <w:rPr>
          <w:sz w:val="22"/>
          <w:szCs w:val="22"/>
        </w:rPr>
        <w:t>Гузака</w:t>
      </w:r>
      <w:proofErr w:type="spellEnd"/>
      <w:r w:rsidR="001D1B40" w:rsidRPr="001D1B40">
        <w:rPr>
          <w:sz w:val="22"/>
          <w:szCs w:val="22"/>
        </w:rPr>
        <w:t xml:space="preserve"> Дмитрия Васильевича</w:t>
      </w:r>
      <w:r w:rsidR="001D1B40">
        <w:rPr>
          <w:sz w:val="22"/>
          <w:szCs w:val="22"/>
        </w:rPr>
        <w:t>, проводимых на</w:t>
      </w:r>
      <w:r w:rsidR="001D1B40" w:rsidRPr="001D1B40">
        <w:rPr>
          <w:sz w:val="22"/>
          <w:szCs w:val="22"/>
        </w:rPr>
        <w:t xml:space="preserve"> электронной торговой площадке АО «Российский аукционный дом», адрес в сети Интернет </w:t>
      </w:r>
      <w:hyperlink r:id="rId7" w:history="1">
        <w:r w:rsidR="001D1B40" w:rsidRPr="00D747FE">
          <w:rPr>
            <w:rStyle w:val="a8"/>
            <w:sz w:val="22"/>
            <w:szCs w:val="22"/>
          </w:rPr>
          <w:t>https://auction-house.ru</w:t>
        </w:r>
      </w:hyperlink>
      <w:r w:rsidR="001D1B40" w:rsidRPr="001D1B40">
        <w:rPr>
          <w:sz w:val="22"/>
          <w:szCs w:val="22"/>
        </w:rPr>
        <w:t>.</w:t>
      </w:r>
    </w:p>
    <w:p w14:paraId="7E981130" w14:textId="2405056D" w:rsidR="001D1B40" w:rsidRPr="00254F69" w:rsidRDefault="001D1B40" w:rsidP="00FF4BDF">
      <w:pPr>
        <w:autoSpaceDE/>
        <w:autoSpaceDN/>
        <w:ind w:firstLine="720"/>
        <w:jc w:val="both"/>
        <w:outlineLvl w:val="0"/>
        <w:rPr>
          <w:sz w:val="22"/>
          <w:szCs w:val="22"/>
        </w:rPr>
      </w:pPr>
      <w:r w:rsidRPr="00975429">
        <w:rPr>
          <w:sz w:val="22"/>
          <w:szCs w:val="22"/>
        </w:rPr>
        <w:t>Начальная стоимость лота №</w:t>
      </w:r>
      <w:r>
        <w:rPr>
          <w:sz w:val="22"/>
          <w:szCs w:val="22"/>
        </w:rPr>
        <w:t xml:space="preserve">1 - </w:t>
      </w:r>
      <w:r w:rsidRPr="001D1B40">
        <w:rPr>
          <w:sz w:val="22"/>
          <w:szCs w:val="22"/>
        </w:rPr>
        <w:t>22 124</w:t>
      </w:r>
      <w:r>
        <w:rPr>
          <w:sz w:val="22"/>
          <w:szCs w:val="22"/>
        </w:rPr>
        <w:t> </w:t>
      </w:r>
      <w:r w:rsidRPr="001D1B40">
        <w:rPr>
          <w:sz w:val="22"/>
          <w:szCs w:val="22"/>
        </w:rPr>
        <w:t>000</w:t>
      </w:r>
      <w:r>
        <w:rPr>
          <w:sz w:val="22"/>
          <w:szCs w:val="22"/>
        </w:rPr>
        <w:t xml:space="preserve"> руб.</w:t>
      </w:r>
    </w:p>
    <w:p w14:paraId="29AE872C" w14:textId="3564346D" w:rsidR="001D1B40" w:rsidRPr="00975429" w:rsidRDefault="001D1B40" w:rsidP="001D1B4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975429">
        <w:rPr>
          <w:sz w:val="22"/>
          <w:szCs w:val="22"/>
        </w:rPr>
        <w:t>1.2.</w:t>
      </w:r>
      <w:r w:rsidRPr="00975429">
        <w:rPr>
          <w:b/>
          <w:sz w:val="22"/>
          <w:szCs w:val="22"/>
        </w:rPr>
        <w:t xml:space="preserve"> Размер задатка составляет </w:t>
      </w:r>
      <w:r w:rsidRPr="001D1B40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Pr="001D1B40">
        <w:rPr>
          <w:b/>
          <w:sz w:val="22"/>
          <w:szCs w:val="22"/>
        </w:rPr>
        <w:t>212</w:t>
      </w:r>
      <w:r>
        <w:rPr>
          <w:b/>
          <w:sz w:val="22"/>
          <w:szCs w:val="22"/>
        </w:rPr>
        <w:t xml:space="preserve"> </w:t>
      </w:r>
      <w:r w:rsidRPr="001D1B40">
        <w:rPr>
          <w:b/>
          <w:sz w:val="22"/>
          <w:szCs w:val="22"/>
        </w:rPr>
        <w:t>400</w:t>
      </w:r>
      <w:r w:rsidRPr="00975429">
        <w:rPr>
          <w:sz w:val="22"/>
          <w:szCs w:val="22"/>
        </w:rPr>
        <w:t xml:space="preserve"> руб.</w:t>
      </w:r>
    </w:p>
    <w:p w14:paraId="08C11BCF" w14:textId="687FD5DD" w:rsidR="001D1B40" w:rsidRPr="001D1B40" w:rsidRDefault="001D1B40" w:rsidP="001D1B40">
      <w:pPr>
        <w:spacing w:line="276" w:lineRule="auto"/>
        <w:ind w:firstLine="426"/>
        <w:jc w:val="both"/>
        <w:rPr>
          <w:sz w:val="22"/>
          <w:szCs w:val="22"/>
        </w:rPr>
      </w:pPr>
      <w:r w:rsidRPr="00975429">
        <w:rPr>
          <w:sz w:val="22"/>
          <w:szCs w:val="22"/>
        </w:rPr>
        <w:t>Задаток за лот №</w:t>
      </w:r>
      <w:r>
        <w:rPr>
          <w:sz w:val="22"/>
          <w:szCs w:val="22"/>
        </w:rPr>
        <w:t>1</w:t>
      </w:r>
      <w:r w:rsidRPr="00975429">
        <w:rPr>
          <w:sz w:val="22"/>
          <w:szCs w:val="22"/>
        </w:rPr>
        <w:t xml:space="preserve">- перечисляется по следующим реквизитам: </w:t>
      </w:r>
      <w:r w:rsidRPr="001D1B40">
        <w:rPr>
          <w:sz w:val="22"/>
          <w:szCs w:val="22"/>
        </w:rPr>
        <w:t xml:space="preserve">получатель: </w:t>
      </w:r>
      <w:proofErr w:type="spellStart"/>
      <w:r w:rsidRPr="001D1B40">
        <w:rPr>
          <w:sz w:val="22"/>
          <w:szCs w:val="22"/>
        </w:rPr>
        <w:t>Гузак</w:t>
      </w:r>
      <w:proofErr w:type="spellEnd"/>
      <w:r w:rsidRPr="001D1B40">
        <w:rPr>
          <w:sz w:val="22"/>
          <w:szCs w:val="22"/>
        </w:rPr>
        <w:t xml:space="preserve"> Дмитрий </w:t>
      </w:r>
      <w:proofErr w:type="gramStart"/>
      <w:r w:rsidRPr="001D1B40">
        <w:rPr>
          <w:sz w:val="22"/>
          <w:szCs w:val="22"/>
        </w:rPr>
        <w:t>Васильевич  ИНН</w:t>
      </w:r>
      <w:proofErr w:type="gramEnd"/>
      <w:r w:rsidRPr="001D1B40">
        <w:rPr>
          <w:sz w:val="22"/>
          <w:szCs w:val="22"/>
        </w:rPr>
        <w:t xml:space="preserve"> 650500055091</w:t>
      </w:r>
      <w:r>
        <w:rPr>
          <w:sz w:val="22"/>
          <w:szCs w:val="22"/>
        </w:rPr>
        <w:t xml:space="preserve">, </w:t>
      </w:r>
      <w:r w:rsidRPr="001D1B40">
        <w:rPr>
          <w:sz w:val="22"/>
          <w:szCs w:val="22"/>
        </w:rPr>
        <w:t>р/я №40817810250190787891</w:t>
      </w:r>
      <w:r>
        <w:rPr>
          <w:sz w:val="22"/>
          <w:szCs w:val="22"/>
        </w:rPr>
        <w:t xml:space="preserve">, </w:t>
      </w:r>
      <w:r w:rsidRPr="001D1B40">
        <w:rPr>
          <w:sz w:val="22"/>
          <w:szCs w:val="22"/>
        </w:rPr>
        <w:t>Банк ФИЛИАЛ "ЦЕНТРАЛЬНЫЙ" ПАО "СОВКОМБАНК"</w:t>
      </w:r>
    </w:p>
    <w:p w14:paraId="73549443" w14:textId="77777777" w:rsidR="001D1B40" w:rsidRPr="001D1B40" w:rsidRDefault="001D1B40" w:rsidP="001D1B40">
      <w:pPr>
        <w:spacing w:line="276" w:lineRule="auto"/>
        <w:ind w:firstLine="426"/>
        <w:jc w:val="both"/>
        <w:rPr>
          <w:sz w:val="22"/>
          <w:szCs w:val="22"/>
        </w:rPr>
      </w:pPr>
      <w:r w:rsidRPr="001D1B40">
        <w:rPr>
          <w:sz w:val="22"/>
          <w:szCs w:val="22"/>
        </w:rPr>
        <w:t xml:space="preserve">БИК 045004763 </w:t>
      </w:r>
    </w:p>
    <w:p w14:paraId="27846E70" w14:textId="0EC8B3CC" w:rsidR="001D1B40" w:rsidRPr="00975429" w:rsidRDefault="001D1B40" w:rsidP="001D1B40">
      <w:pPr>
        <w:spacing w:line="276" w:lineRule="auto"/>
        <w:ind w:firstLine="426"/>
        <w:jc w:val="both"/>
        <w:rPr>
          <w:b/>
          <w:sz w:val="22"/>
          <w:szCs w:val="22"/>
          <w:highlight w:val="green"/>
        </w:rPr>
      </w:pPr>
      <w:proofErr w:type="spellStart"/>
      <w:r w:rsidRPr="001D1B40">
        <w:rPr>
          <w:sz w:val="22"/>
          <w:szCs w:val="22"/>
        </w:rPr>
        <w:t>Корр</w:t>
      </w:r>
      <w:proofErr w:type="spellEnd"/>
      <w:r w:rsidRPr="001D1B40">
        <w:rPr>
          <w:sz w:val="22"/>
          <w:szCs w:val="22"/>
        </w:rPr>
        <w:t>/счет 30101810150040000763</w:t>
      </w:r>
    </w:p>
    <w:p w14:paraId="1E8D9528" w14:textId="1B352D46" w:rsidR="001D1B40" w:rsidRPr="00975429" w:rsidRDefault="001D1B40" w:rsidP="001D1B40">
      <w:pPr>
        <w:spacing w:line="276" w:lineRule="auto"/>
        <w:ind w:firstLine="426"/>
        <w:jc w:val="both"/>
        <w:rPr>
          <w:sz w:val="22"/>
          <w:szCs w:val="22"/>
        </w:rPr>
      </w:pPr>
      <w:r w:rsidRPr="00975429">
        <w:rPr>
          <w:sz w:val="22"/>
          <w:szCs w:val="22"/>
        </w:rPr>
        <w:t xml:space="preserve">1.3. </w:t>
      </w:r>
      <w:r>
        <w:rPr>
          <w:sz w:val="22"/>
        </w:rPr>
        <w:t>Претендент</w:t>
      </w:r>
      <w:r w:rsidRPr="00DE38A8">
        <w:rPr>
          <w:sz w:val="22"/>
        </w:rPr>
        <w:t xml:space="preserve"> самостоятельно, до участия в торгах</w:t>
      </w:r>
      <w:r>
        <w:rPr>
          <w:sz w:val="22"/>
        </w:rPr>
        <w:t xml:space="preserve"> и </w:t>
      </w:r>
      <w:r>
        <w:rPr>
          <w:sz w:val="22"/>
        </w:rPr>
        <w:t>представления</w:t>
      </w:r>
      <w:r>
        <w:rPr>
          <w:sz w:val="22"/>
        </w:rPr>
        <w:t xml:space="preserve"> заявки на торги</w:t>
      </w:r>
      <w:r w:rsidRPr="00DE38A8">
        <w:rPr>
          <w:sz w:val="22"/>
        </w:rPr>
        <w:t xml:space="preserve">, определил путем осмотра состояние </w:t>
      </w:r>
      <w:r>
        <w:rPr>
          <w:sz w:val="22"/>
        </w:rPr>
        <w:t xml:space="preserve">реализуемого на торгах </w:t>
      </w:r>
      <w:r w:rsidRPr="00DE38A8">
        <w:rPr>
          <w:sz w:val="22"/>
        </w:rPr>
        <w:t>Имущества, а также степень его пригодности для использования в</w:t>
      </w:r>
      <w:r>
        <w:rPr>
          <w:sz w:val="22"/>
        </w:rPr>
        <w:t xml:space="preserve"> соответствии с его назначением и с учетом этого, </w:t>
      </w:r>
      <w:r>
        <w:rPr>
          <w:sz w:val="22"/>
          <w:szCs w:val="22"/>
        </w:rPr>
        <w:t>вносит Задаток</w:t>
      </w:r>
      <w:r w:rsidRPr="00975429">
        <w:rPr>
          <w:sz w:val="22"/>
          <w:szCs w:val="22"/>
        </w:rPr>
        <w:t xml:space="preserve"> в счет обеспечения исполнения обязательств по оплате продаваемого на торгах имущества</w:t>
      </w:r>
      <w:r w:rsidR="003B367D" w:rsidRPr="003B367D">
        <w:rPr>
          <w:sz w:val="22"/>
          <w:szCs w:val="22"/>
        </w:rPr>
        <w:t xml:space="preserve"> </w:t>
      </w:r>
      <w:r w:rsidR="003B367D" w:rsidRPr="001D1B40">
        <w:rPr>
          <w:sz w:val="22"/>
          <w:szCs w:val="22"/>
        </w:rPr>
        <w:t xml:space="preserve">ИП Главы КФХ </w:t>
      </w:r>
      <w:proofErr w:type="spellStart"/>
      <w:r w:rsidR="003B367D" w:rsidRPr="001D1B40">
        <w:rPr>
          <w:sz w:val="22"/>
          <w:szCs w:val="22"/>
        </w:rPr>
        <w:t>Гузака</w:t>
      </w:r>
      <w:proofErr w:type="spellEnd"/>
      <w:r w:rsidR="003B367D" w:rsidRPr="001D1B40">
        <w:rPr>
          <w:sz w:val="22"/>
          <w:szCs w:val="22"/>
        </w:rPr>
        <w:t xml:space="preserve"> Дмитрия Васильевича</w:t>
      </w:r>
      <w:r w:rsidRPr="00975429">
        <w:rPr>
          <w:sz w:val="22"/>
          <w:szCs w:val="22"/>
        </w:rPr>
        <w:t xml:space="preserve">, указанного в п.1.1 договора. </w:t>
      </w:r>
    </w:p>
    <w:p w14:paraId="23C7D6DF" w14:textId="77777777" w:rsidR="00FF4BDF" w:rsidRPr="00254F69" w:rsidRDefault="00FF4BDF" w:rsidP="00FF4BDF">
      <w:pPr>
        <w:ind w:firstLine="720"/>
        <w:jc w:val="both"/>
        <w:rPr>
          <w:sz w:val="22"/>
          <w:szCs w:val="22"/>
        </w:rPr>
      </w:pPr>
    </w:p>
    <w:p w14:paraId="17F02AFF" w14:textId="77777777" w:rsidR="00A82929" w:rsidRPr="00975429" w:rsidRDefault="00A82929" w:rsidP="00A82929">
      <w:pPr>
        <w:pStyle w:val="ac"/>
        <w:spacing w:after="120" w:line="276" w:lineRule="auto"/>
        <w:outlineLvl w:val="0"/>
        <w:rPr>
          <w:sz w:val="22"/>
          <w:szCs w:val="22"/>
        </w:rPr>
      </w:pPr>
      <w:r w:rsidRPr="00975429">
        <w:rPr>
          <w:sz w:val="22"/>
          <w:szCs w:val="22"/>
        </w:rPr>
        <w:t>2. Порядок внесения задатка</w:t>
      </w:r>
    </w:p>
    <w:p w14:paraId="73AE2990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 xml:space="preserve">2.1. Задаток должен быть внесен Претендентом на указанный в п. 1.2. договора счет и считается внесенным с даты поступления всей суммы задатка на указанный счет. </w:t>
      </w:r>
    </w:p>
    <w:p w14:paraId="7B7D6A9A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156F885D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1.2. договора счета. </w:t>
      </w:r>
    </w:p>
    <w:p w14:paraId="72CF1958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07679F14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  <w:highlight w:val="green"/>
        </w:rPr>
      </w:pPr>
    </w:p>
    <w:p w14:paraId="2D4E71C6" w14:textId="77777777" w:rsidR="00A82929" w:rsidRPr="00975429" w:rsidRDefault="00A82929" w:rsidP="00A82929">
      <w:pPr>
        <w:pStyle w:val="ac"/>
        <w:spacing w:after="120" w:line="276" w:lineRule="auto"/>
        <w:rPr>
          <w:sz w:val="22"/>
          <w:szCs w:val="22"/>
        </w:rPr>
      </w:pPr>
      <w:r w:rsidRPr="00975429">
        <w:rPr>
          <w:sz w:val="22"/>
          <w:szCs w:val="22"/>
        </w:rPr>
        <w:t>3. Порядок возврата и удержания задатка</w:t>
      </w:r>
    </w:p>
    <w:p w14:paraId="356F728D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3.1. Задаток возвращается в случаях и в сроки, которые установлены пунктами 3.2. – 3.5. договора путем перечисления суммы внесенного задатка на указанный в п.5 договора счет Претендента.</w:t>
      </w:r>
    </w:p>
    <w:p w14:paraId="0F8A58DA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 xml:space="preserve"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</w:t>
      </w:r>
      <w:r w:rsidRPr="00975429">
        <w:rPr>
          <w:b w:val="0"/>
          <w:sz w:val="22"/>
          <w:szCs w:val="22"/>
        </w:rPr>
        <w:lastRenderedPageBreak/>
        <w:t>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97F5D90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</w:t>
      </w:r>
      <w:r w:rsidRPr="00975429">
        <w:rPr>
          <w:sz w:val="22"/>
          <w:szCs w:val="22"/>
        </w:rPr>
        <w:t xml:space="preserve"> </w:t>
      </w:r>
      <w:r w:rsidRPr="00975429">
        <w:rPr>
          <w:b w:val="0"/>
          <w:sz w:val="22"/>
          <w:szCs w:val="22"/>
        </w:rPr>
        <w:t>рабочих дней с даты оформления протокола об определении участников торгов.</w:t>
      </w:r>
    </w:p>
    <w:p w14:paraId="36354A42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со дня подписания Протокола о результатах проведения открытых торгов.</w:t>
      </w:r>
    </w:p>
    <w:p w14:paraId="356EA3DD" w14:textId="77777777" w:rsidR="00A82929" w:rsidRPr="00975429" w:rsidRDefault="00A82929" w:rsidP="00A82929">
      <w:pPr>
        <w:pStyle w:val="ac"/>
        <w:numPr>
          <w:ilvl w:val="1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Организатору торгов от Претендента уведомления об отзыве заявки.</w:t>
      </w:r>
    </w:p>
    <w:p w14:paraId="70911F9D" w14:textId="77777777" w:rsidR="00A82929" w:rsidRPr="00975429" w:rsidRDefault="00A82929" w:rsidP="00A82929">
      <w:pPr>
        <w:pStyle w:val="af0"/>
        <w:numPr>
          <w:ilvl w:val="1"/>
          <w:numId w:val="3"/>
        </w:numPr>
        <w:tabs>
          <w:tab w:val="left" w:pos="851"/>
        </w:tabs>
        <w:spacing w:line="276" w:lineRule="auto"/>
        <w:ind w:left="0" w:firstLine="426"/>
        <w:rPr>
          <w:sz w:val="22"/>
          <w:szCs w:val="22"/>
        </w:rPr>
      </w:pPr>
      <w:r w:rsidRPr="00975429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75429">
        <w:rPr>
          <w:b/>
          <w:sz w:val="22"/>
          <w:szCs w:val="22"/>
        </w:rPr>
        <w:t xml:space="preserve"> </w:t>
      </w:r>
      <w:r w:rsidRPr="00975429">
        <w:rPr>
          <w:sz w:val="22"/>
          <w:szCs w:val="22"/>
        </w:rPr>
        <w:t>задатка в течение 5 (пяти) рабочих дней со дня принятия решения об отмене торгов.</w:t>
      </w:r>
    </w:p>
    <w:p w14:paraId="0A76AB12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5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3.6. Внесенный задаток не возвращается в случае, если Претендент, признанный победителем торгов:</w:t>
      </w:r>
    </w:p>
    <w:p w14:paraId="058D8DB6" w14:textId="1EABF1BC" w:rsidR="00A82929" w:rsidRPr="00975429" w:rsidRDefault="00A82929" w:rsidP="00A82929">
      <w:pPr>
        <w:pStyle w:val="ae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- уклонится от подписания договора купли-продажи имущества</w:t>
      </w:r>
      <w:r w:rsidRPr="00975429">
        <w:rPr>
          <w:sz w:val="22"/>
          <w:szCs w:val="22"/>
        </w:rPr>
        <w:t xml:space="preserve"> </w:t>
      </w:r>
      <w:r w:rsidRPr="00A82929">
        <w:rPr>
          <w:b w:val="0"/>
          <w:sz w:val="22"/>
          <w:szCs w:val="22"/>
        </w:rPr>
        <w:t xml:space="preserve">ИП Главы КФХ </w:t>
      </w:r>
      <w:proofErr w:type="spellStart"/>
      <w:r w:rsidRPr="00A82929">
        <w:rPr>
          <w:b w:val="0"/>
          <w:sz w:val="22"/>
          <w:szCs w:val="22"/>
        </w:rPr>
        <w:t>Гузака</w:t>
      </w:r>
      <w:proofErr w:type="spellEnd"/>
      <w:r w:rsidRPr="00A82929">
        <w:rPr>
          <w:b w:val="0"/>
          <w:sz w:val="22"/>
          <w:szCs w:val="22"/>
        </w:rPr>
        <w:t xml:space="preserve"> Дмитрия Васильевича</w:t>
      </w:r>
      <w:r w:rsidRPr="00975429">
        <w:rPr>
          <w:b w:val="0"/>
          <w:sz w:val="22"/>
          <w:szCs w:val="22"/>
        </w:rPr>
        <w:t xml:space="preserve"> в установленный срок;</w:t>
      </w:r>
    </w:p>
    <w:p w14:paraId="22822D20" w14:textId="1B474D32" w:rsidR="00A82929" w:rsidRPr="00975429" w:rsidRDefault="00A82929" w:rsidP="00A82929">
      <w:pPr>
        <w:pStyle w:val="ae"/>
        <w:tabs>
          <w:tab w:val="left" w:pos="851"/>
        </w:tabs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 xml:space="preserve">- уклонится от оплаты продаваемого на торгах имущества в срок, установленный договором купли-продажи имущества </w:t>
      </w:r>
      <w:r w:rsidRPr="00A82929">
        <w:rPr>
          <w:b w:val="0"/>
          <w:sz w:val="22"/>
          <w:szCs w:val="22"/>
        </w:rPr>
        <w:t xml:space="preserve">ИП Главы КФХ </w:t>
      </w:r>
      <w:proofErr w:type="spellStart"/>
      <w:r w:rsidRPr="00A82929">
        <w:rPr>
          <w:b w:val="0"/>
          <w:sz w:val="22"/>
          <w:szCs w:val="22"/>
        </w:rPr>
        <w:t>Гузака</w:t>
      </w:r>
      <w:proofErr w:type="spellEnd"/>
      <w:r w:rsidRPr="00A82929">
        <w:rPr>
          <w:b w:val="0"/>
          <w:sz w:val="22"/>
          <w:szCs w:val="22"/>
        </w:rPr>
        <w:t xml:space="preserve"> Дмитрия Васильевича</w:t>
      </w:r>
      <w:r>
        <w:rPr>
          <w:b w:val="0"/>
          <w:sz w:val="22"/>
          <w:szCs w:val="22"/>
        </w:rPr>
        <w:t>.</w:t>
      </w:r>
    </w:p>
    <w:p w14:paraId="7709EC54" w14:textId="7589A53C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5"/>
        <w:jc w:val="both"/>
        <w:rPr>
          <w:b w:val="0"/>
          <w:bCs/>
          <w:sz w:val="22"/>
          <w:szCs w:val="22"/>
        </w:rPr>
      </w:pPr>
      <w:r w:rsidRPr="00975429">
        <w:rPr>
          <w:b w:val="0"/>
          <w:sz w:val="22"/>
          <w:szCs w:val="22"/>
        </w:rPr>
        <w:t>3.7. 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Pr="00975429">
        <w:rPr>
          <w:sz w:val="22"/>
          <w:szCs w:val="22"/>
        </w:rPr>
        <w:t xml:space="preserve"> </w:t>
      </w:r>
      <w:r w:rsidRPr="00A82929">
        <w:rPr>
          <w:b w:val="0"/>
          <w:sz w:val="22"/>
          <w:szCs w:val="22"/>
        </w:rPr>
        <w:t xml:space="preserve">ИП Главы КФХ </w:t>
      </w:r>
      <w:proofErr w:type="spellStart"/>
      <w:r w:rsidRPr="00A82929">
        <w:rPr>
          <w:b w:val="0"/>
          <w:sz w:val="22"/>
          <w:szCs w:val="22"/>
        </w:rPr>
        <w:t>Гузака</w:t>
      </w:r>
      <w:proofErr w:type="spellEnd"/>
      <w:r w:rsidRPr="00A82929">
        <w:rPr>
          <w:b w:val="0"/>
          <w:sz w:val="22"/>
          <w:szCs w:val="22"/>
        </w:rPr>
        <w:t xml:space="preserve"> Дмитрия Васильевича</w:t>
      </w:r>
    </w:p>
    <w:p w14:paraId="52BC4C33" w14:textId="77777777" w:rsidR="00A82929" w:rsidRPr="00975429" w:rsidRDefault="00A82929" w:rsidP="00A82929">
      <w:pPr>
        <w:pStyle w:val="ac"/>
        <w:tabs>
          <w:tab w:val="left" w:pos="851"/>
        </w:tabs>
        <w:spacing w:line="276" w:lineRule="auto"/>
        <w:ind w:firstLine="425"/>
        <w:rPr>
          <w:sz w:val="22"/>
          <w:szCs w:val="22"/>
        </w:rPr>
      </w:pPr>
      <w:r w:rsidRPr="00975429">
        <w:rPr>
          <w:sz w:val="22"/>
          <w:szCs w:val="22"/>
        </w:rPr>
        <w:t>4. Срок действия договора</w:t>
      </w:r>
    </w:p>
    <w:p w14:paraId="1CC419C5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4.1.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A1D5ADB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4.2. Все возможные споры и разногласия, связа</w:t>
      </w:r>
      <w:bookmarkStart w:id="0" w:name="_GoBack"/>
      <w:bookmarkEnd w:id="0"/>
      <w:r w:rsidRPr="00975429">
        <w:rPr>
          <w:b w:val="0"/>
          <w:sz w:val="22"/>
          <w:szCs w:val="22"/>
        </w:rPr>
        <w:t>нные с исполнением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суде, в соответствии с действующим законодательством Российской Федерации.</w:t>
      </w:r>
    </w:p>
    <w:p w14:paraId="4333578E" w14:textId="77777777" w:rsidR="00A82929" w:rsidRPr="00975429" w:rsidRDefault="00A82929" w:rsidP="00A82929">
      <w:pPr>
        <w:pStyle w:val="ac"/>
        <w:spacing w:line="276" w:lineRule="auto"/>
        <w:ind w:firstLine="426"/>
        <w:jc w:val="both"/>
        <w:rPr>
          <w:b w:val="0"/>
          <w:sz w:val="22"/>
          <w:szCs w:val="22"/>
        </w:rPr>
      </w:pPr>
      <w:r w:rsidRPr="00975429">
        <w:rPr>
          <w:b w:val="0"/>
          <w:sz w:val="22"/>
          <w:szCs w:val="22"/>
        </w:rPr>
        <w:t>4.3. Договор составлен в двух экземплярах, имеющих одинаковую юридическую силу, по одному для каждой из Сторон.</w:t>
      </w:r>
    </w:p>
    <w:p w14:paraId="2AE43C18" w14:textId="371D9622" w:rsidR="00FF4BDF" w:rsidRPr="00254F69" w:rsidRDefault="00A82929" w:rsidP="00FF4BDF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FF4BDF" w:rsidRPr="00254F69">
        <w:rPr>
          <w:b/>
          <w:bCs/>
          <w:sz w:val="22"/>
          <w:szCs w:val="22"/>
        </w:rPr>
        <w:t xml:space="preserve">. </w:t>
      </w:r>
      <w:r w:rsidR="00FF4BDF">
        <w:rPr>
          <w:b/>
          <w:bCs/>
          <w:sz w:val="22"/>
          <w:szCs w:val="22"/>
        </w:rPr>
        <w:t xml:space="preserve">Адреса </w:t>
      </w:r>
      <w:r w:rsidR="00FF4BDF" w:rsidRPr="00254F69">
        <w:rPr>
          <w:b/>
          <w:bCs/>
          <w:sz w:val="22"/>
          <w:szCs w:val="22"/>
        </w:rPr>
        <w:t>и реквизиты Сторон</w:t>
      </w:r>
    </w:p>
    <w:p w14:paraId="10E22B4E" w14:textId="77777777" w:rsidR="00FF4BDF" w:rsidRPr="00254F69" w:rsidRDefault="00FF4BDF" w:rsidP="00FF4BDF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F4BDF" w:rsidRPr="00254F69" w14:paraId="4A1CB49D" w14:textId="77777777" w:rsidTr="00DB6F42">
        <w:tc>
          <w:tcPr>
            <w:tcW w:w="4503" w:type="dxa"/>
            <w:shd w:val="clear" w:color="auto" w:fill="auto"/>
          </w:tcPr>
          <w:p w14:paraId="6342DAE2" w14:textId="77777777" w:rsidR="00A82929" w:rsidRPr="00975429" w:rsidRDefault="00A82929" w:rsidP="00A82929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975429">
              <w:rPr>
                <w:b/>
                <w:color w:val="000000"/>
                <w:sz w:val="22"/>
                <w:szCs w:val="22"/>
              </w:rPr>
              <w:t>«</w:t>
            </w:r>
            <w:r w:rsidRPr="00975429">
              <w:rPr>
                <w:b/>
                <w:sz w:val="22"/>
                <w:szCs w:val="22"/>
              </w:rPr>
              <w:t>Организатор торгов</w:t>
            </w:r>
            <w:r w:rsidRPr="00975429">
              <w:rPr>
                <w:b/>
                <w:color w:val="000000"/>
                <w:sz w:val="22"/>
                <w:szCs w:val="22"/>
              </w:rPr>
              <w:t>»</w:t>
            </w:r>
          </w:p>
          <w:p w14:paraId="62A7F040" w14:textId="18FE1B86" w:rsidR="00FF4BDF" w:rsidRPr="00254F69" w:rsidRDefault="00A82929" w:rsidP="00DB6F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</w:tc>
        <w:tc>
          <w:tcPr>
            <w:tcW w:w="5068" w:type="dxa"/>
            <w:shd w:val="clear" w:color="auto" w:fill="auto"/>
          </w:tcPr>
          <w:p w14:paraId="5FB8A848" w14:textId="319B0055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jc w:val="center"/>
              <w:rPr>
                <w:b/>
                <w:sz w:val="22"/>
                <w:szCs w:val="22"/>
              </w:rPr>
            </w:pPr>
            <w:r w:rsidRPr="00254F69">
              <w:rPr>
                <w:b/>
                <w:sz w:val="22"/>
                <w:szCs w:val="22"/>
              </w:rPr>
              <w:t>П</w:t>
            </w:r>
            <w:r w:rsidR="00A82929">
              <w:rPr>
                <w:b/>
                <w:sz w:val="22"/>
                <w:szCs w:val="22"/>
              </w:rPr>
              <w:t>ретендент</w:t>
            </w:r>
            <w:r w:rsidRPr="00254F69">
              <w:rPr>
                <w:b/>
                <w:sz w:val="22"/>
                <w:szCs w:val="22"/>
              </w:rPr>
              <w:t>:</w:t>
            </w:r>
          </w:p>
        </w:tc>
      </w:tr>
      <w:tr w:rsidR="00FF4BDF" w:rsidRPr="00F97E76" w14:paraId="4538A222" w14:textId="77777777" w:rsidTr="00DB6F42">
        <w:tc>
          <w:tcPr>
            <w:tcW w:w="4503" w:type="dxa"/>
            <w:shd w:val="clear" w:color="auto" w:fill="auto"/>
          </w:tcPr>
          <w:p w14:paraId="4A49B870" w14:textId="3F7798F4" w:rsidR="00FF4BDF" w:rsidRDefault="00A82929" w:rsidP="00DB6F42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ИП Главы КФХ </w:t>
            </w:r>
            <w:r w:rsidR="005A0F4E" w:rsidRPr="005A0F4E">
              <w:rPr>
                <w:b/>
                <w:bCs/>
                <w:noProof/>
                <w:sz w:val="22"/>
                <w:szCs w:val="22"/>
              </w:rPr>
              <w:t>Гузак</w:t>
            </w:r>
            <w:r>
              <w:rPr>
                <w:b/>
                <w:bCs/>
                <w:noProof/>
                <w:sz w:val="22"/>
                <w:szCs w:val="22"/>
              </w:rPr>
              <w:t>а</w:t>
            </w:r>
            <w:r w:rsidR="005A0F4E" w:rsidRPr="005A0F4E">
              <w:rPr>
                <w:b/>
                <w:bCs/>
                <w:noProof/>
                <w:sz w:val="22"/>
                <w:szCs w:val="22"/>
              </w:rPr>
              <w:t xml:space="preserve"> Дмитри</w:t>
            </w:r>
            <w:r>
              <w:rPr>
                <w:b/>
                <w:bCs/>
                <w:noProof/>
                <w:sz w:val="22"/>
                <w:szCs w:val="22"/>
              </w:rPr>
              <w:t>я</w:t>
            </w:r>
            <w:r w:rsidR="005A0F4E" w:rsidRPr="005A0F4E">
              <w:rPr>
                <w:b/>
                <w:bCs/>
                <w:noProof/>
                <w:sz w:val="22"/>
                <w:szCs w:val="22"/>
              </w:rPr>
              <w:t xml:space="preserve"> Васильевич</w:t>
            </w:r>
            <w:r>
              <w:rPr>
                <w:b/>
                <w:bCs/>
                <w:noProof/>
                <w:sz w:val="22"/>
                <w:szCs w:val="22"/>
              </w:rPr>
              <w:t>а</w:t>
            </w:r>
          </w:p>
          <w:p w14:paraId="7E21DF21" w14:textId="51063D9B" w:rsidR="00FF4BDF" w:rsidRDefault="00A82929" w:rsidP="00DB6F42">
            <w:pPr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К</w:t>
            </w:r>
            <w:r w:rsidR="00FF4BDF" w:rsidRPr="00254F69">
              <w:rPr>
                <w:b/>
                <w:sz w:val="22"/>
                <w:szCs w:val="22"/>
                <w:shd w:val="clear" w:color="auto" w:fill="FFFFFF"/>
              </w:rPr>
              <w:t>арлагин С.С.</w:t>
            </w:r>
          </w:p>
          <w:p w14:paraId="7479F3B0" w14:textId="77777777" w:rsidR="00FF4BDF" w:rsidRPr="009F31F0" w:rsidRDefault="00FF4BDF" w:rsidP="00DB6F42">
            <w:pPr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9F31F0">
              <w:rPr>
                <w:sz w:val="22"/>
                <w:szCs w:val="22"/>
                <w:shd w:val="clear" w:color="auto" w:fill="FFFFFF"/>
              </w:rPr>
              <w:t>6300</w:t>
            </w:r>
            <w:r>
              <w:rPr>
                <w:sz w:val="22"/>
                <w:szCs w:val="22"/>
                <w:shd w:val="clear" w:color="auto" w:fill="FFFFFF"/>
              </w:rPr>
              <w:t>73</w:t>
            </w:r>
            <w:r w:rsidRPr="009F31F0">
              <w:rPr>
                <w:sz w:val="22"/>
                <w:szCs w:val="22"/>
                <w:shd w:val="clear" w:color="auto" w:fill="FFFFFF"/>
              </w:rPr>
              <w:t>,  город</w:t>
            </w:r>
            <w:proofErr w:type="gramEnd"/>
            <w:r w:rsidRPr="009F31F0">
              <w:rPr>
                <w:sz w:val="22"/>
                <w:szCs w:val="22"/>
                <w:shd w:val="clear" w:color="auto" w:fill="FFFFFF"/>
              </w:rPr>
              <w:t xml:space="preserve"> Новосибирск, а/я </w:t>
            </w:r>
            <w:r>
              <w:rPr>
                <w:sz w:val="22"/>
                <w:szCs w:val="22"/>
                <w:shd w:val="clear" w:color="auto" w:fill="FFFFFF"/>
              </w:rPr>
              <w:t>19</w:t>
            </w:r>
          </w:p>
          <w:p w14:paraId="0586AD23" w14:textId="77777777" w:rsidR="00FF4BDF" w:rsidRPr="009F31F0" w:rsidRDefault="00A82929" w:rsidP="00DB6F42">
            <w:pPr>
              <w:rPr>
                <w:sz w:val="22"/>
                <w:szCs w:val="22"/>
                <w:shd w:val="clear" w:color="auto" w:fill="FFFFFF"/>
              </w:rPr>
            </w:pPr>
            <w:hyperlink r:id="rId8" w:history="1">
              <w:r w:rsidR="00FF4BDF" w:rsidRPr="009F31F0">
                <w:rPr>
                  <w:rStyle w:val="a8"/>
                  <w:sz w:val="22"/>
                  <w:szCs w:val="22"/>
                  <w:shd w:val="clear" w:color="auto" w:fill="FFFFFF"/>
                </w:rPr>
                <w:t>ssk.arbitr@yandex.ru</w:t>
              </w:r>
            </w:hyperlink>
          </w:p>
          <w:p w14:paraId="1AACD77B" w14:textId="77777777" w:rsidR="00FF4BDF" w:rsidRPr="001A1EA3" w:rsidRDefault="00FF4BDF" w:rsidP="00DB6F42">
            <w:pPr>
              <w:rPr>
                <w:sz w:val="22"/>
                <w:szCs w:val="22"/>
                <w:shd w:val="clear" w:color="auto" w:fill="FFFFFF"/>
              </w:rPr>
            </w:pPr>
            <w:r w:rsidRPr="001A1EA3">
              <w:rPr>
                <w:sz w:val="22"/>
                <w:szCs w:val="22"/>
                <w:shd w:val="clear" w:color="auto" w:fill="FFFFFF"/>
              </w:rPr>
              <w:t>+79132007737</w:t>
            </w:r>
          </w:p>
          <w:p w14:paraId="73D35343" w14:textId="77777777" w:rsidR="00FF4BDF" w:rsidRPr="00254F69" w:rsidRDefault="00FF4BDF" w:rsidP="00DB6F42">
            <w:pPr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8" w:type="dxa"/>
            <w:shd w:val="clear" w:color="auto" w:fill="auto"/>
          </w:tcPr>
          <w:p w14:paraId="0D2E196B" w14:textId="77777777" w:rsidR="00FF4BDF" w:rsidRDefault="00FF4BDF" w:rsidP="00DB6F42">
            <w:pPr>
              <w:rPr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C91DCE3" w14:textId="77777777" w:rsidR="00FF4BDF" w:rsidRDefault="00FF4BDF" w:rsidP="00DB6F42">
            <w:pPr>
              <w:rPr>
                <w:bCs/>
                <w:noProof/>
                <w:sz w:val="22"/>
                <w:szCs w:val="22"/>
              </w:rPr>
            </w:pPr>
          </w:p>
          <w:p w14:paraId="42D3C116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50A353EA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24D71991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6AFC962E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771A5FFD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49E161B9" w14:textId="77777777" w:rsidR="00FF4BDF" w:rsidRPr="00387D49" w:rsidRDefault="00FF4BDF" w:rsidP="00DB6F42">
            <w:pPr>
              <w:rPr>
                <w:sz w:val="22"/>
                <w:szCs w:val="22"/>
              </w:rPr>
            </w:pPr>
          </w:p>
          <w:p w14:paraId="666ED6F0" w14:textId="77777777" w:rsidR="00FF4BDF" w:rsidRPr="001A1EA3" w:rsidRDefault="00FF4BDF" w:rsidP="00DB6F42">
            <w:pPr>
              <w:rPr>
                <w:sz w:val="22"/>
                <w:szCs w:val="22"/>
              </w:rPr>
            </w:pPr>
          </w:p>
        </w:tc>
      </w:tr>
      <w:tr w:rsidR="00FF4BDF" w:rsidRPr="00254F69" w14:paraId="5FCE6271" w14:textId="77777777" w:rsidTr="00DB6F42">
        <w:tc>
          <w:tcPr>
            <w:tcW w:w="4503" w:type="dxa"/>
            <w:shd w:val="clear" w:color="auto" w:fill="auto"/>
          </w:tcPr>
          <w:p w14:paraId="28B0D03D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right="33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Подпись:</w:t>
            </w:r>
          </w:p>
        </w:tc>
        <w:tc>
          <w:tcPr>
            <w:tcW w:w="5068" w:type="dxa"/>
            <w:shd w:val="clear" w:color="auto" w:fill="auto"/>
          </w:tcPr>
          <w:p w14:paraId="22317E7E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rPr>
                <w:b/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Подпись:</w:t>
            </w:r>
          </w:p>
        </w:tc>
      </w:tr>
      <w:tr w:rsidR="00FF4BDF" w:rsidRPr="00254F69" w14:paraId="67E65444" w14:textId="77777777" w:rsidTr="00DB6F42">
        <w:trPr>
          <w:trHeight w:val="1100"/>
        </w:trPr>
        <w:tc>
          <w:tcPr>
            <w:tcW w:w="4503" w:type="dxa"/>
            <w:shd w:val="clear" w:color="auto" w:fill="auto"/>
          </w:tcPr>
          <w:p w14:paraId="0BA36B83" w14:textId="77777777" w:rsidR="00FF4BDF" w:rsidRPr="00254F69" w:rsidRDefault="00FF4BDF" w:rsidP="00DB6F42">
            <w:pPr>
              <w:jc w:val="both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 xml:space="preserve"> </w:t>
            </w:r>
          </w:p>
          <w:p w14:paraId="5EDD1750" w14:textId="77777777" w:rsidR="00FF4BDF" w:rsidRPr="00254F69" w:rsidRDefault="00FF4BDF" w:rsidP="00DB6F42">
            <w:pPr>
              <w:jc w:val="both"/>
              <w:rPr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>_______________________</w:t>
            </w:r>
          </w:p>
          <w:p w14:paraId="62D4515F" w14:textId="77777777" w:rsidR="00FF4BDF" w:rsidRPr="00254F69" w:rsidRDefault="00FF4BDF" w:rsidP="00DB6F42">
            <w:pPr>
              <w:ind w:left="284"/>
              <w:jc w:val="both"/>
              <w:rPr>
                <w:b/>
                <w:sz w:val="22"/>
                <w:szCs w:val="22"/>
              </w:rPr>
            </w:pPr>
            <w:r w:rsidRPr="00254F69">
              <w:rPr>
                <w:sz w:val="22"/>
                <w:szCs w:val="22"/>
              </w:rPr>
              <w:t xml:space="preserve">       М.П.</w:t>
            </w:r>
            <w:r w:rsidRPr="00254F69">
              <w:rPr>
                <w:sz w:val="22"/>
                <w:szCs w:val="22"/>
              </w:rPr>
              <w:tab/>
            </w:r>
          </w:p>
        </w:tc>
        <w:tc>
          <w:tcPr>
            <w:tcW w:w="5068" w:type="dxa"/>
            <w:shd w:val="clear" w:color="auto" w:fill="auto"/>
          </w:tcPr>
          <w:p w14:paraId="06428647" w14:textId="77777777" w:rsidR="00FF4BDF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rPr>
                <w:i/>
                <w:sz w:val="22"/>
                <w:szCs w:val="22"/>
              </w:rPr>
            </w:pPr>
          </w:p>
          <w:p w14:paraId="69E74246" w14:textId="77777777" w:rsidR="00FF4BDF" w:rsidRPr="00254F69" w:rsidRDefault="00FF4BDF" w:rsidP="00DB6F42">
            <w:pPr>
              <w:tabs>
                <w:tab w:val="right" w:leader="underscore" w:pos="3828"/>
                <w:tab w:val="left" w:pos="5387"/>
                <w:tab w:val="right" w:leader="underscore" w:pos="9355"/>
              </w:tabs>
              <w:spacing w:line="276" w:lineRule="auto"/>
              <w:ind w:left="17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</w:t>
            </w:r>
          </w:p>
        </w:tc>
      </w:tr>
    </w:tbl>
    <w:p w14:paraId="131DAC08" w14:textId="77777777" w:rsidR="00B60EAC" w:rsidRDefault="00B60EAC"/>
    <w:sectPr w:rsidR="00B60EAC" w:rsidSect="00AA726E">
      <w:headerReference w:type="even" r:id="rId9"/>
      <w:headerReference w:type="default" r:id="rId10"/>
      <w:headerReference w:type="first" r:id="rId11"/>
      <w:pgSz w:w="11906" w:h="16838"/>
      <w:pgMar w:top="709" w:right="567" w:bottom="568" w:left="1134" w:header="397" w:footer="39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9F8C" w14:textId="77777777" w:rsidR="00000000" w:rsidRDefault="00A82929">
      <w:r>
        <w:separator/>
      </w:r>
    </w:p>
  </w:endnote>
  <w:endnote w:type="continuationSeparator" w:id="0">
    <w:p w14:paraId="39190F5F" w14:textId="77777777" w:rsidR="00000000" w:rsidRDefault="00A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FF4D" w14:textId="77777777" w:rsidR="00000000" w:rsidRDefault="00A82929">
      <w:r>
        <w:separator/>
      </w:r>
    </w:p>
  </w:footnote>
  <w:footnote w:type="continuationSeparator" w:id="0">
    <w:p w14:paraId="59396D17" w14:textId="77777777" w:rsidR="00000000" w:rsidRDefault="00A82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3EE63" w14:textId="77777777" w:rsidR="004E311F" w:rsidRDefault="00A82929" w:rsidP="0039669A">
    <w:pPr>
      <w:pStyle w:val="a3"/>
      <w:framePr w:wrap="around" w:vAnchor="text" w:hAnchor="margin" w:xAlign="right" w:y="1"/>
      <w:rPr>
        <w:rStyle w:val="a5"/>
      </w:rPr>
    </w:pPr>
    <w:r>
      <w:rPr>
        <w:noProof/>
      </w:rPr>
      <w:pict w14:anchorId="63700E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75.55pt;height:143.85pt;rotation:315;z-index:-251656192;mso-position-horizontal:center;mso-position-horizontal-relative:margin;mso-position-vertical:center;mso-position-vertical-relative:margin" o:allowincell="f" fillcolor="red" stroked="f">
          <v:fill opacity="36044f"/>
          <v:textpath style="font-family:&quot;Times New Roman&quot;;font-size:1pt" string="ПРОЕКТ"/>
          <w10:wrap anchorx="margin" anchory="margin"/>
        </v:shape>
      </w:pict>
    </w:r>
    <w:r w:rsidR="00CF2EDC">
      <w:rPr>
        <w:rStyle w:val="a5"/>
      </w:rPr>
      <w:fldChar w:fldCharType="begin"/>
    </w:r>
    <w:r w:rsidR="00CF2EDC">
      <w:rPr>
        <w:rStyle w:val="a5"/>
      </w:rPr>
      <w:instrText xml:space="preserve">PAGE  </w:instrText>
    </w:r>
    <w:r w:rsidR="00CF2EDC">
      <w:rPr>
        <w:rStyle w:val="a5"/>
      </w:rPr>
      <w:fldChar w:fldCharType="end"/>
    </w:r>
  </w:p>
  <w:p w14:paraId="4D3D0762" w14:textId="77777777" w:rsidR="004E311F" w:rsidRDefault="00A82929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66201" w14:textId="77777777" w:rsidR="004E311F" w:rsidRDefault="00CF2EDC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33AAB64D" w14:textId="0EDA8D01" w:rsidR="004E311F" w:rsidRDefault="00A82929" w:rsidP="00DC3986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6E070" w14:textId="77777777" w:rsidR="004E311F" w:rsidRDefault="00A82929">
    <w:pPr>
      <w:pStyle w:val="a3"/>
    </w:pPr>
    <w:r>
      <w:rPr>
        <w:noProof/>
      </w:rPr>
      <w:pict w14:anchorId="04F700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75.55pt;height:143.85pt;rotation:315;z-index:-251655168;mso-position-horizontal:center;mso-position-horizontal-relative:margin;mso-position-vertical:center;mso-position-vertical-relative:margin" o:allowincell="f" fillcolor="red" stroked="f">
          <v:fill opacity="36044f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14B7"/>
    <w:multiLevelType w:val="multilevel"/>
    <w:tmpl w:val="80ACE3E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160B5F3A"/>
    <w:multiLevelType w:val="hybridMultilevel"/>
    <w:tmpl w:val="38BC1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23EAA"/>
    <w:multiLevelType w:val="multilevel"/>
    <w:tmpl w:val="758855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8A"/>
    <w:rsid w:val="001D1B40"/>
    <w:rsid w:val="003B367D"/>
    <w:rsid w:val="005A0F4E"/>
    <w:rsid w:val="005C418A"/>
    <w:rsid w:val="00606C61"/>
    <w:rsid w:val="009A14BF"/>
    <w:rsid w:val="00A82929"/>
    <w:rsid w:val="00B60EAC"/>
    <w:rsid w:val="00C22640"/>
    <w:rsid w:val="00CF2EDC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F295"/>
  <w15:chartTrackingRefBased/>
  <w15:docId w15:val="{7086D69E-CAC6-469F-A982-5D22A802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B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4B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F4B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4BDF"/>
  </w:style>
  <w:style w:type="paragraph" w:styleId="a6">
    <w:name w:val="List Paragraph"/>
    <w:basedOn w:val="a"/>
    <w:uiPriority w:val="34"/>
    <w:qFormat/>
    <w:rsid w:val="00FF4BDF"/>
    <w:pPr>
      <w:ind w:left="720"/>
      <w:contextualSpacing/>
    </w:pPr>
  </w:style>
  <w:style w:type="character" w:customStyle="1" w:styleId="itemtext1">
    <w:name w:val="itemtext1"/>
    <w:basedOn w:val="a0"/>
    <w:rsid w:val="00FF4BDF"/>
    <w:rPr>
      <w:rFonts w:ascii="Segoe UI" w:hAnsi="Segoe UI" w:cs="Segoe UI" w:hint="default"/>
      <w:color w:val="000000"/>
      <w:sz w:val="20"/>
      <w:szCs w:val="20"/>
    </w:rPr>
  </w:style>
  <w:style w:type="paragraph" w:styleId="a7">
    <w:name w:val="No Spacing"/>
    <w:uiPriority w:val="1"/>
    <w:qFormat/>
    <w:rsid w:val="00FF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nhideWhenUsed/>
    <w:rsid w:val="00FF4B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1B40"/>
    <w:rPr>
      <w:color w:val="605E5C"/>
      <w:shd w:val="clear" w:color="auto" w:fill="E1DFDD"/>
    </w:rPr>
  </w:style>
  <w:style w:type="paragraph" w:styleId="aa">
    <w:name w:val="footer"/>
    <w:basedOn w:val="a"/>
    <w:link w:val="ab"/>
    <w:uiPriority w:val="99"/>
    <w:unhideWhenUsed/>
    <w:rsid w:val="001D1B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1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A82929"/>
    <w:pPr>
      <w:autoSpaceDE/>
      <w:autoSpaceDN/>
      <w:jc w:val="center"/>
    </w:pPr>
    <w:rPr>
      <w:b/>
      <w:sz w:val="28"/>
    </w:rPr>
  </w:style>
  <w:style w:type="character" w:customStyle="1" w:styleId="ad">
    <w:name w:val="Заголовок Знак"/>
    <w:basedOn w:val="a0"/>
    <w:link w:val="ac"/>
    <w:rsid w:val="00A829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rsid w:val="00A82929"/>
    <w:pPr>
      <w:autoSpaceDE/>
      <w:autoSpaceDN/>
      <w:jc w:val="center"/>
    </w:pPr>
    <w:rPr>
      <w:b/>
      <w:sz w:val="24"/>
    </w:rPr>
  </w:style>
  <w:style w:type="character" w:customStyle="1" w:styleId="af">
    <w:name w:val="Основной текст Знак"/>
    <w:basedOn w:val="a0"/>
    <w:link w:val="ae"/>
    <w:rsid w:val="00A829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A82929"/>
    <w:pPr>
      <w:autoSpaceDE/>
      <w:autoSpaceDN/>
      <w:ind w:firstLine="567"/>
      <w:jc w:val="both"/>
    </w:pPr>
    <w:rPr>
      <w:sz w:val="24"/>
    </w:rPr>
  </w:style>
  <w:style w:type="character" w:customStyle="1" w:styleId="af1">
    <w:name w:val="Основной текст с отступом Знак"/>
    <w:basedOn w:val="a0"/>
    <w:link w:val="af0"/>
    <w:rsid w:val="00A8292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k.arbit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2025-02-04T08:21:00Z</dcterms:created>
  <dcterms:modified xsi:type="dcterms:W3CDTF">2025-02-04T09:01:00Z</dcterms:modified>
</cp:coreProperties>
</file>