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56" w:rsidRDefault="007E473F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B04956" w:rsidRDefault="007E473F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B04956" w:rsidRDefault="007E473F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B04956" w:rsidRDefault="007E473F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25 февраля 2025 г. с 11:00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B04956" w:rsidRDefault="007E473F">
      <w:pPr>
        <w:ind w:left="1130" w:firstLine="0"/>
      </w:pPr>
      <w:r>
        <w:t xml:space="preserve">Прием заявок осуществляется </w:t>
      </w:r>
      <w:r w:rsidR="00AA08BD">
        <w:rPr>
          <w:shd w:val="clear" w:color="auto" w:fill="FFFFFF"/>
        </w:rPr>
        <w:t>с 18</w:t>
      </w:r>
      <w:bookmarkStart w:id="0" w:name="_GoBack"/>
      <w:bookmarkEnd w:id="0"/>
      <w:r>
        <w:rPr>
          <w:shd w:val="clear" w:color="auto" w:fill="FFFFFF"/>
        </w:rPr>
        <w:t xml:space="preserve">:00:00 15 января 2025 г. </w:t>
      </w:r>
      <w:r>
        <w:t xml:space="preserve">по 24 февраля 2025 г. до 14:00:00 </w:t>
      </w:r>
    </w:p>
    <w:p w:rsidR="00B04956" w:rsidRDefault="007E473F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B04956" w:rsidRDefault="007E473F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24 февраля 2025 г. 14:00. </w:t>
      </w:r>
    </w:p>
    <w:p w:rsidR="00B04956" w:rsidRDefault="007E473F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24 февраля 2025 г. в 15:00. </w:t>
      </w:r>
    </w:p>
    <w:p w:rsidR="00B04956" w:rsidRDefault="007E473F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B04956" w:rsidRDefault="007E473F">
      <w:pPr>
        <w:spacing w:after="22" w:line="259" w:lineRule="auto"/>
        <w:ind w:left="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:rsidR="00B04956" w:rsidRDefault="007E473F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B04956" w:rsidRDefault="007E473F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B04956" w:rsidRDefault="007E473F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B04956" w:rsidRDefault="007E473F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Доли в размере 100 % (сто процентов) уставного капитала Общества с ограниченной ответственностью «Марафон»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Полное наименование: Общество с ограниченной ответственностью «Марафон». Сокращенное наименование: ООО «Марафон».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Место нахождения: 194356, Г.САНКТ-ПЕТЕРБУРГ, Ш ВЫБОРГСКОЕ, Д.34, ЛИТЕРА А              </w:t>
      </w:r>
    </w:p>
    <w:p w:rsidR="00B04956" w:rsidRDefault="007E473F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ОГРН 1079847114291, ИНН 7802414760, КПП 780201001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Сведения о регистрации: зарегистрировано 05.12.2007 МИФНС №15 по Санкт-Петербургу.  </w:t>
      </w:r>
    </w:p>
    <w:p w:rsidR="00B04956" w:rsidRDefault="007E473F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ОГРН 1079847114291, ИНН 7802414760, КПП 780201001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Уставный капитал ООО «Марафон» составляет 52 660 000 (Пятьдесят два миллиона шестьсот шестьдесят тысяч ) рублей.  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Обществу на праве собственности принадлежат следующие объекты недвижимости :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>- Нежилое здание, расположенное по адресу: г. Санкт-Петербург, Выборгское шоссе 34, литера А, общей площадью 5798,1 кв.м, кадастровый номер: 78:36:0005415:14, назначение: нежилое, количество этажей: 5, в том числе подземных 1</w:t>
      </w:r>
    </w:p>
    <w:p w:rsidR="00B04956" w:rsidRDefault="007E473F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ab/>
        <w:t>Обременения (ограничения): в соответствии с выпиской от 17.12.2024.</w:t>
      </w:r>
    </w:p>
    <w:p w:rsidR="00B04956" w:rsidRDefault="007E473F">
      <w:pPr>
        <w:ind w:left="0" w:right="6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- Земельный участок по адресу: г. Санкт-Петербург, Выборгское шоссе 34, литера А,, площадью 4682 +/- 24 кв.м., кадастровый номер 78:36:0005415:10, категория: земли населенных пунктов, виды разрешенного использования: для размещения объектов физической куль-туры и спорта. </w:t>
      </w:r>
    </w:p>
    <w:p w:rsidR="00B04956" w:rsidRDefault="007E473F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Обременения (ограничения): согласно выписке из ЕГРН от 17.12.2024.</w:t>
      </w:r>
    </w:p>
    <w:p w:rsidR="00B04956" w:rsidRDefault="007E473F">
      <w:pPr>
        <w:ind w:left="340" w:right="113" w:firstLine="0"/>
        <w:rPr>
          <w:rFonts w:eastAsia="SimSun;宋体" w:cs="Tahoma"/>
          <w:szCs w:val="24"/>
          <w:lang w:eastAsia="hi-IN" w:bidi="hi-IN"/>
        </w:rPr>
      </w:pPr>
      <w:r>
        <w:rPr>
          <w:color w:val="auto"/>
          <w:szCs w:val="24"/>
        </w:rPr>
        <w:t xml:space="preserve"> </w:t>
      </w:r>
    </w:p>
    <w:p w:rsidR="00B04956" w:rsidRDefault="007E473F">
      <w:pPr>
        <w:ind w:left="0" w:right="113" w:firstLine="708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600 000 000 (Шестьсот миллионов) рублей, НДС не облагается;  </w:t>
      </w:r>
    </w:p>
    <w:p w:rsidR="00B04956" w:rsidRDefault="007E473F">
      <w:pPr>
        <w:pStyle w:val="affc"/>
        <w:ind w:left="0" w:right="60" w:firstLine="708"/>
        <w:rPr>
          <w:b/>
          <w:szCs w:val="24"/>
        </w:rPr>
      </w:pPr>
      <w:r>
        <w:rPr>
          <w:b/>
          <w:szCs w:val="24"/>
        </w:rPr>
        <w:t>Минимальная цена объекта- 530 000 000 (Пятьсот тридцать миллионов) рублей.</w:t>
      </w:r>
    </w:p>
    <w:p w:rsidR="00B04956" w:rsidRDefault="007E473F">
      <w:pPr>
        <w:pStyle w:val="affc"/>
        <w:ind w:left="0" w:right="60" w:firstLine="708"/>
        <w:rPr>
          <w:b/>
          <w:szCs w:val="24"/>
        </w:rPr>
      </w:pPr>
      <w:r>
        <w:rPr>
          <w:b/>
          <w:szCs w:val="24"/>
        </w:rPr>
        <w:t xml:space="preserve">Сумма задатка – 20 000 000 (Двадцать миллионов) рублей.   </w:t>
      </w:r>
    </w:p>
    <w:p w:rsidR="00B04956" w:rsidRDefault="007E473F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lastRenderedPageBreak/>
        <w:t xml:space="preserve">Шаг аукциона на понижение– 5 000 000 (Пять миллионов) рублей. </w:t>
      </w:r>
    </w:p>
    <w:p w:rsidR="00B04956" w:rsidRDefault="007E473F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повышение- 2 500 000 (Два миллиона пятьсот тысяч) рублей. </w:t>
      </w:r>
    </w:p>
    <w:p w:rsidR="00B04956" w:rsidRDefault="00B04956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B04956" w:rsidRDefault="007E473F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B04956" w:rsidRDefault="007E473F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B04956" w:rsidRDefault="007E473F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B04956" w:rsidRDefault="007E473F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B04956" w:rsidRDefault="007E473F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B04956" w:rsidRDefault="007E473F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B04956" w:rsidRDefault="007E473F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B04956" w:rsidRDefault="007E473F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B04956" w:rsidRDefault="007E473F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B04956" w:rsidRDefault="007E473F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</w:t>
      </w:r>
      <w:r>
        <w:rPr>
          <w:szCs w:val="24"/>
        </w:rPr>
        <w:lastRenderedPageBreak/>
        <w:t xml:space="preserve">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B04956" w:rsidRDefault="007E473F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B04956" w:rsidRDefault="007E473F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B04956" w:rsidRDefault="007E473F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B04956" w:rsidRDefault="007E473F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B04956" w:rsidRDefault="00B04956">
      <w:pPr>
        <w:ind w:left="0" w:right="60" w:firstLine="0"/>
        <w:rPr>
          <w:szCs w:val="24"/>
        </w:rPr>
      </w:pPr>
    </w:p>
    <w:p w:rsidR="00B04956" w:rsidRDefault="007E473F">
      <w:pPr>
        <w:ind w:left="718" w:right="60" w:firstLine="0"/>
        <w:rPr>
          <w:szCs w:val="24"/>
        </w:rPr>
      </w:pPr>
      <w:r>
        <w:rPr>
          <w:b/>
          <w:szCs w:val="24"/>
        </w:rPr>
        <w:lastRenderedPageBreak/>
        <w:t>Задаток должен поступить на указанный счет не позднее 24 февраля 2024 г.</w:t>
      </w:r>
      <w:r>
        <w:rPr>
          <w:szCs w:val="24"/>
        </w:rPr>
        <w:t xml:space="preserve">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 засчитывается в сумму платежа по договору купли-продажи Объекта.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B04956" w:rsidRDefault="007E473F">
      <w:pPr>
        <w:numPr>
          <w:ilvl w:val="0"/>
          <w:numId w:val="8"/>
        </w:numPr>
        <w:ind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 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      </w:t>
      </w:r>
    </w:p>
    <w:p w:rsidR="00B04956" w:rsidRDefault="007E473F">
      <w:pPr>
        <w:ind w:left="-15" w:right="60" w:firstLine="0"/>
        <w:jc w:val="center"/>
        <w:rPr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проведении электрон-ных торгов по продаже имущества, имущественных прав (за исключением имущества, имуще-ственных прав, реализуемых в рамках процедур несостоятельности (банкротства), продажи госу-дарственного или муниципального имущества), размещенном на сайте www.lot-online.ru.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При проведении торгов на понижение начальной цены осуществляется</w:t>
      </w:r>
      <w:r w:rsidR="00217C27">
        <w:rPr>
          <w:szCs w:val="24"/>
        </w:rPr>
        <w:t xml:space="preserve"> последовательное сниже</w:t>
      </w:r>
      <w:r>
        <w:rPr>
          <w:szCs w:val="24"/>
        </w:rPr>
        <w:t>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- если в течение 15 минут с момента начала представления предложений о цене не поступило ни одного предложения о цене Лота, осуществляется последовате</w:t>
      </w:r>
      <w:r w:rsidR="00217C27">
        <w:rPr>
          <w:szCs w:val="24"/>
        </w:rPr>
        <w:t>льное снижение цены первоначаль</w:t>
      </w:r>
      <w:r>
        <w:rPr>
          <w:szCs w:val="24"/>
        </w:rPr>
        <w:t>ного предложения на «шаг аукциона на понижение» до цены о</w:t>
      </w:r>
      <w:r w:rsidR="00217C27">
        <w:rPr>
          <w:szCs w:val="24"/>
        </w:rPr>
        <w:t>тсечения (минимальной цены). Пе</w:t>
      </w:r>
      <w:r>
        <w:rPr>
          <w:szCs w:val="24"/>
        </w:rPr>
        <w:t>риод снижения цены - 5 минут. Торги завершаются программно-аппаратными средствами элек-</w:t>
      </w:r>
      <w:r>
        <w:rPr>
          <w:szCs w:val="24"/>
        </w:rPr>
        <w:lastRenderedPageBreak/>
        <w:t>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Организатором торгов в электронном журнале.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Программные средства электронной площадки исключают во</w:t>
      </w:r>
      <w:r w:rsidR="00217C27">
        <w:rPr>
          <w:szCs w:val="24"/>
        </w:rPr>
        <w:t>зможность подачи Участником аук</w:t>
      </w:r>
      <w:r>
        <w:rPr>
          <w:szCs w:val="24"/>
        </w:rPr>
        <w:t>циона предложения по цене Лота, которое не соответствует увеличению текущей цены на «шаг аукциона на повышение».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 аукциона, которы</w:t>
      </w:r>
      <w:r w:rsidR="00217C27">
        <w:rPr>
          <w:szCs w:val="24"/>
        </w:rPr>
        <w:t>й подтвердил цену первоначально</w:t>
      </w:r>
      <w:r>
        <w:rPr>
          <w:szCs w:val="24"/>
        </w:rPr>
        <w:t>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торговой площадки формируется протокол о результатах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электронного аукциона оформляется Ор</w:t>
      </w:r>
      <w:r w:rsidR="00217C27">
        <w:rPr>
          <w:szCs w:val="24"/>
        </w:rPr>
        <w:t>ганизатором торгов в день прове</w:t>
      </w:r>
      <w:r>
        <w:rPr>
          <w:szCs w:val="24"/>
        </w:rPr>
        <w:t>дения электронного аукциона.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Лота, предложенную Победителем аукциона, и удостоверяющего право Победителя аукциона на заключение договора купли-продажи Объекта.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торговой площадки размещается информация о завершении электронного аукциона.</w:t>
      </w:r>
    </w:p>
    <w:p w:rsidR="00B04956" w:rsidRDefault="007E473F">
      <w:pPr>
        <w:ind w:left="-15" w:right="60" w:firstLine="0"/>
        <w:jc w:val="center"/>
        <w:rPr>
          <w:b/>
          <w:szCs w:val="24"/>
        </w:rPr>
      </w:pPr>
      <w:r>
        <w:rPr>
          <w:b/>
          <w:szCs w:val="24"/>
        </w:rPr>
        <w:t>Электронный аукцион признается несостоявшимся в следующих случаях: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B04956" w:rsidRDefault="007E473F">
      <w:pPr>
        <w:numPr>
          <w:ilvl w:val="0"/>
          <w:numId w:val="6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цене Лота.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:rsidR="00B04956" w:rsidRDefault="007E473F">
      <w:pPr>
        <w:ind w:left="-15" w:right="60" w:firstLine="723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</w:t>
      </w:r>
      <w:r>
        <w:rPr>
          <w:szCs w:val="24"/>
        </w:rPr>
        <w:lastRenderedPageBreak/>
        <w:t xml:space="preserve">площадке. Данная информация также размещается на сайтах: www.auction-house.ru и www.lot-online.ru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15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          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b/>
          <w:szCs w:val="24"/>
        </w:rPr>
        <w:t xml:space="preserve">                          ПОРЯДОК ЗАКЛЮЧЕНИЯ ДОГОВОРА ПО ИТОГАМ ТОРГОВ: </w:t>
      </w:r>
    </w:p>
    <w:p w:rsidR="00B04956" w:rsidRDefault="007E473F">
      <w:pPr>
        <w:ind w:left="-15" w:right="60" w:firstLine="0"/>
        <w:rPr>
          <w:b/>
          <w:bCs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между Победителем электронного аукциона (Покупателем) в течение 5 (Пяти) рабочих дней после проведения итогов аукциона (торгов)</w:t>
      </w:r>
      <w:r>
        <w:rPr>
          <w:b/>
          <w:szCs w:val="24"/>
          <w:shd w:val="clear" w:color="auto" w:fill="FFFFFF"/>
        </w:rPr>
        <w:t xml:space="preserve"> и подлежит нотариальному удостоверению в порядке установленном законодательством Российской Федерации.</w:t>
      </w:r>
      <w:r>
        <w:rPr>
          <w:b/>
          <w:szCs w:val="24"/>
        </w:rPr>
        <w:t xml:space="preserve"> </w:t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:rsidR="00B04956" w:rsidRDefault="007E473F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szCs w:val="24"/>
        </w:rPr>
        <w:tab/>
      </w: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Для заключения договора купли-продажи Объекта Покупатель/единственный участник должен в срок не позднее 5 (пяти) рабочих дней связаться с Организатором торгов по телефону, указанному в настоящем информационном сообщении</w:t>
      </w:r>
      <w:bookmarkStart w:id="1" w:name="_GoBack1"/>
      <w:bookmarkEnd w:id="1"/>
      <w:r>
        <w:rPr>
          <w:szCs w:val="24"/>
        </w:rPr>
        <w:t>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:rsidR="00B04956" w:rsidRDefault="007E473F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</w:rPr>
        <w:t>в соответствии с условиями договора купли-продажи</w:t>
      </w:r>
      <w:r>
        <w:rPr>
          <w:szCs w:val="24"/>
        </w:rPr>
        <w:t>.</w:t>
      </w:r>
    </w:p>
    <w:p w:rsidR="00B04956" w:rsidRDefault="007E473F">
      <w:pPr>
        <w:ind w:left="-15" w:right="60" w:firstLine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Сделки по итогам торгов подлежат заключению с учетом положений Указа Президента РФ №81 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 ознакомления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Style w:val="aff5"/>
            <w:szCs w:val="24"/>
          </w:rPr>
          <w:t>www.lot</w:t>
        </w:r>
      </w:hyperlink>
      <w:hyperlink r:id="rId45" w:tooltip="http://www.lot-online.ru/" w:history="1">
        <w:r>
          <w:rPr>
            <w:rStyle w:val="aff5"/>
            <w:szCs w:val="24"/>
          </w:rPr>
          <w:t>-</w:t>
        </w:r>
      </w:hyperlink>
      <w:hyperlink r:id="rId46" w:tooltip="http://www.lot-online.ru/" w:history="1">
        <w:r>
          <w:rPr>
            <w:rStyle w:val="aff5"/>
            <w:szCs w:val="24"/>
          </w:rPr>
          <w:t>online.ru</w:t>
        </w:r>
      </w:hyperlink>
      <w:hyperlink r:id="rId47" w:tooltip="http://www.lot-online.ru/" w:history="1">
        <w:r>
          <w:rPr>
            <w:rStyle w:val="aff5"/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0"/>
        <w:rPr>
          <w:i/>
          <w:iCs/>
          <w:szCs w:val="24"/>
        </w:rPr>
      </w:pPr>
      <w:r>
        <w:rPr>
          <w:szCs w:val="24"/>
        </w:rPr>
        <w:t xml:space="preserve"> 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Приложения:</w:t>
      </w:r>
    </w:p>
    <w:p w:rsidR="00B04956" w:rsidRDefault="007E473F">
      <w:pPr>
        <w:ind w:left="-15" w:right="60" w:firstLine="0"/>
        <w:rPr>
          <w:szCs w:val="24"/>
        </w:rPr>
      </w:pPr>
      <w:r>
        <w:rPr>
          <w:szCs w:val="24"/>
        </w:rPr>
        <w:t>- выписки из ЕГРН</w:t>
      </w:r>
    </w:p>
    <w:p w:rsidR="00B04956" w:rsidRDefault="00B04956">
      <w:pPr>
        <w:ind w:left="-15" w:right="60" w:firstLine="0"/>
        <w:rPr>
          <w:szCs w:val="24"/>
        </w:rPr>
      </w:pPr>
    </w:p>
    <w:p w:rsidR="00B04956" w:rsidRDefault="00B04956">
      <w:pPr>
        <w:ind w:left="-15" w:right="60" w:firstLine="0"/>
        <w:rPr>
          <w:szCs w:val="24"/>
        </w:rPr>
      </w:pPr>
    </w:p>
    <w:sectPr w:rsidR="00B04956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83" w:rsidRDefault="00D44683">
      <w:pPr>
        <w:spacing w:after="0" w:line="240" w:lineRule="auto"/>
      </w:pPr>
      <w:r>
        <w:separator/>
      </w:r>
    </w:p>
  </w:endnote>
  <w:endnote w:type="continuationSeparator" w:id="0">
    <w:p w:rsidR="00D44683" w:rsidRDefault="00D4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83" w:rsidRDefault="00D44683">
      <w:pPr>
        <w:spacing w:after="0" w:line="240" w:lineRule="auto"/>
      </w:pPr>
      <w:r>
        <w:separator/>
      </w:r>
    </w:p>
  </w:footnote>
  <w:footnote w:type="continuationSeparator" w:id="0">
    <w:p w:rsidR="00D44683" w:rsidRDefault="00D4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66E"/>
    <w:multiLevelType w:val="multilevel"/>
    <w:tmpl w:val="AAC2762A"/>
    <w:lvl w:ilvl="0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ᰭϰQ㤭窍僞࿿࿿࿿࿿࿿࿿࿿࿿࿿ᮠ蹘Ვ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24F51"/>
    <w:multiLevelType w:val="multilevel"/>
    <w:tmpl w:val="543E4E9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4EC1C7E"/>
    <w:multiLevelType w:val="multilevel"/>
    <w:tmpl w:val="7460FA8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59512C"/>
    <w:multiLevelType w:val="multilevel"/>
    <w:tmpl w:val="80AE194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5E7D38E3"/>
    <w:multiLevelType w:val="multilevel"/>
    <w:tmpl w:val="223A6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D36179"/>
    <w:multiLevelType w:val="multilevel"/>
    <w:tmpl w:val="38A473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8D392D"/>
    <w:multiLevelType w:val="multilevel"/>
    <w:tmpl w:val="50DEDD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A8E666A"/>
    <w:multiLevelType w:val="multilevel"/>
    <w:tmpl w:val="60FCFD8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56"/>
    <w:rsid w:val="00217C27"/>
    <w:rsid w:val="007E473F"/>
    <w:rsid w:val="00AA08BD"/>
    <w:rsid w:val="00B04956"/>
    <w:rsid w:val="00D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6F799-BBAA-46B0-BE84-009CCEE7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A381-56E0-4D68-90FD-F08FF4E8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3</cp:revision>
  <dcterms:created xsi:type="dcterms:W3CDTF">2025-01-15T13:25:00Z</dcterms:created>
  <dcterms:modified xsi:type="dcterms:W3CDTF">2025-01-15T14:36:00Z</dcterms:modified>
  <dc:language>ru-RU</dc:language>
</cp:coreProperties>
</file>