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3DE073AF" w:rsidR="008E00D8" w:rsidRDefault="00517FEA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Публичным акционерным обществом «М2М </w:t>
      </w:r>
      <w:proofErr w:type="spell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Банк» (ПАО М2М </w:t>
      </w:r>
      <w:proofErr w:type="spell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Банк), (адрес регистрации: 125009, г. Москва, </w:t>
      </w:r>
      <w:proofErr w:type="spell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Леонтьевский</w:t>
      </w:r>
      <w:proofErr w:type="spellEnd"/>
      <w:r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переулок, д. 21/1, стр. 1, ИНН 7744001320, ОГРН 1027739049370) (далее – </w:t>
      </w:r>
      <w:proofErr w:type="gramStart"/>
      <w:r w:rsidRPr="00517FEA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4) (далее – КУ),</w:t>
      </w:r>
      <w:r w:rsidR="005A1E57" w:rsidRPr="005A1E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83EDB87" w14:textId="66C2CBBA" w:rsidR="008E00D8" w:rsidRDefault="008E00D8" w:rsidP="00517F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являются права требования к </w:t>
      </w:r>
      <w:r w:rsidR="003E0957">
        <w:rPr>
          <w:rFonts w:ascii="Times New Roman" w:hAnsi="Times New Roman" w:cs="Times New Roman"/>
          <w:color w:val="000000"/>
          <w:sz w:val="24"/>
          <w:szCs w:val="24"/>
        </w:rPr>
        <w:t>юридическим</w:t>
      </w:r>
      <w:r w:rsidR="00517FEA">
        <w:rPr>
          <w:rFonts w:ascii="Times New Roman" w:hAnsi="Times New Roman" w:cs="Times New Roman"/>
          <w:color w:val="000000"/>
          <w:sz w:val="24"/>
          <w:szCs w:val="24"/>
        </w:rPr>
        <w:t xml:space="preserve"> и физическим</w:t>
      </w:r>
      <w:r w:rsidR="003E0957">
        <w:rPr>
          <w:rFonts w:ascii="Times New Roman" w:hAnsi="Times New Roman" w:cs="Times New Roman"/>
          <w:color w:val="000000"/>
          <w:sz w:val="24"/>
          <w:szCs w:val="24"/>
        </w:rPr>
        <w:t xml:space="preserve">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E932259" w14:textId="270B2845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1 - ООО "Инвестиционная Компания Гарант", ИНН 7744000310, Бабель Михаил Александрович (поручители ЗАО "ИСК "ЭНБИЭМ", ИНН 7722575152, ЗАО "ПАССИМ", ИНН 7710439684), </w:t>
      </w:r>
      <w:proofErr w:type="spellStart"/>
      <w:r w:rsidRPr="00517FEA">
        <w:rPr>
          <w:color w:val="000000"/>
        </w:rPr>
        <w:t>Стадник</w:t>
      </w:r>
      <w:proofErr w:type="spellEnd"/>
      <w:r w:rsidRPr="00517FEA">
        <w:rPr>
          <w:color w:val="000000"/>
        </w:rPr>
        <w:t xml:space="preserve"> Олег Венедиктович, </w:t>
      </w:r>
      <w:proofErr w:type="spellStart"/>
      <w:r w:rsidRPr="00517FEA">
        <w:rPr>
          <w:color w:val="000000"/>
        </w:rPr>
        <w:t>Челнокова</w:t>
      </w:r>
      <w:proofErr w:type="spellEnd"/>
      <w:r w:rsidRPr="00517FEA">
        <w:rPr>
          <w:color w:val="000000"/>
        </w:rPr>
        <w:t xml:space="preserve"> Галина Михайловна (по субсидиарной ответственности ЗАО «ПАССИМ»), КД 020-1/КЛ-2014 от 24.02.2014, определение АС г. Москвы от 07.06.2024 по делу А40-52448/23-73-126</w:t>
      </w:r>
      <w:proofErr w:type="gramStart"/>
      <w:r w:rsidRPr="00517FEA">
        <w:rPr>
          <w:color w:val="000000"/>
        </w:rPr>
        <w:t xml:space="preserve"> Б</w:t>
      </w:r>
      <w:proofErr w:type="gramEnd"/>
      <w:r w:rsidRPr="00517FEA">
        <w:rPr>
          <w:color w:val="000000"/>
        </w:rPr>
        <w:t xml:space="preserve"> о включении в РТК третьей очереди, КД 123-1/КЛ-2012 от 17.07.2012, КД </w:t>
      </w:r>
      <w:proofErr w:type="gramStart"/>
      <w:r w:rsidRPr="00517FEA">
        <w:rPr>
          <w:color w:val="000000"/>
        </w:rPr>
        <w:t>140-1/КЛФ-2009 от 28.09.2009, КД 203-1/КЛФ-2012 от 30.10.2012, КД 216-1/КФ-2012 от 16.11.2012, КД 030-1/КФ-2016 от 11.07.2016, КД 012-1/КФ-2016 от 13.09.2016, КД 73214 от 16.06.2011, решение АС Московской области от 15.12.2016 по делу А41-66178/16 о включении в РТК третьей очереди, определение АС Московской области от 19.10.2017 по делу А41-66178/16 о включении в РТК за реестр</w:t>
      </w:r>
      <w:proofErr w:type="gramEnd"/>
      <w:r w:rsidRPr="00517FEA">
        <w:rPr>
          <w:color w:val="000000"/>
        </w:rPr>
        <w:t xml:space="preserve">, </w:t>
      </w:r>
      <w:proofErr w:type="gramStart"/>
      <w:r w:rsidRPr="00517FEA">
        <w:rPr>
          <w:color w:val="000000"/>
        </w:rPr>
        <w:t>определение АС Московской области от 05.12.2016 по делу А41-60101/13 о включении в РТК третьей очереди, определение АС г. Москвы от 17.04.2017 по делу А40-185113/16-124-313Б о включении в РТК третьей очереди, определение АСГМ от 16.02.2024 по делу А40-34183/23 о включении в РТК третьей очереди, определение АС г.</w:t>
      </w:r>
      <w:r>
        <w:rPr>
          <w:color w:val="000000"/>
        </w:rPr>
        <w:t xml:space="preserve"> </w:t>
      </w:r>
      <w:r w:rsidRPr="00517FEA">
        <w:rPr>
          <w:color w:val="000000"/>
        </w:rPr>
        <w:t>Тулы от 31.01.2024 по делу А68-1973-3/23 о включении в РТК</w:t>
      </w:r>
      <w:proofErr w:type="gramEnd"/>
      <w:r w:rsidRPr="00517FEA">
        <w:rPr>
          <w:color w:val="000000"/>
        </w:rPr>
        <w:t xml:space="preserve"> третьей очереди, находятся в стадии банкротства (1 639 789 072,93 руб.) - 1 639 789 072,93 руб.;</w:t>
      </w:r>
    </w:p>
    <w:p w14:paraId="5D996B26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2 - ООО "Производственно-коммерческая фирма "АФИНА ЛТД", ИНН 7724017474, </w:t>
      </w:r>
      <w:proofErr w:type="spellStart"/>
      <w:r w:rsidRPr="00517FEA">
        <w:rPr>
          <w:color w:val="000000"/>
        </w:rPr>
        <w:t>Челябиев</w:t>
      </w:r>
      <w:proofErr w:type="spellEnd"/>
      <w:r w:rsidRPr="00517FEA">
        <w:rPr>
          <w:color w:val="000000"/>
        </w:rPr>
        <w:t xml:space="preserve"> </w:t>
      </w:r>
      <w:proofErr w:type="spellStart"/>
      <w:r w:rsidRPr="00517FEA">
        <w:rPr>
          <w:color w:val="000000"/>
        </w:rPr>
        <w:t>Теймур</w:t>
      </w:r>
      <w:proofErr w:type="spellEnd"/>
      <w:r w:rsidRPr="00517FEA">
        <w:rPr>
          <w:color w:val="000000"/>
        </w:rPr>
        <w:t xml:space="preserve"> </w:t>
      </w:r>
      <w:proofErr w:type="spellStart"/>
      <w:r w:rsidRPr="00517FEA">
        <w:rPr>
          <w:color w:val="000000"/>
        </w:rPr>
        <w:t>Насиб</w:t>
      </w:r>
      <w:proofErr w:type="spellEnd"/>
      <w:r w:rsidRPr="00517FEA">
        <w:rPr>
          <w:color w:val="000000"/>
        </w:rPr>
        <w:t xml:space="preserve"> </w:t>
      </w:r>
      <w:proofErr w:type="spellStart"/>
      <w:r w:rsidRPr="00517FEA">
        <w:rPr>
          <w:color w:val="000000"/>
        </w:rPr>
        <w:t>оглы</w:t>
      </w:r>
      <w:proofErr w:type="spellEnd"/>
      <w:r w:rsidRPr="00517FEA">
        <w:rPr>
          <w:color w:val="000000"/>
        </w:rPr>
        <w:t xml:space="preserve"> (поручители Мамедов </w:t>
      </w:r>
      <w:proofErr w:type="spellStart"/>
      <w:r w:rsidRPr="00517FEA">
        <w:rPr>
          <w:color w:val="000000"/>
        </w:rPr>
        <w:t>Мубариз</w:t>
      </w:r>
      <w:proofErr w:type="spellEnd"/>
      <w:r w:rsidRPr="00517FEA">
        <w:rPr>
          <w:color w:val="000000"/>
        </w:rPr>
        <w:t xml:space="preserve"> </w:t>
      </w:r>
      <w:proofErr w:type="spellStart"/>
      <w:r w:rsidRPr="00517FEA">
        <w:rPr>
          <w:color w:val="000000"/>
        </w:rPr>
        <w:t>Джалал</w:t>
      </w:r>
      <w:proofErr w:type="spellEnd"/>
      <w:proofErr w:type="gramStart"/>
      <w:r w:rsidRPr="00517FEA">
        <w:rPr>
          <w:color w:val="000000"/>
        </w:rPr>
        <w:t xml:space="preserve"> </w:t>
      </w:r>
      <w:proofErr w:type="spellStart"/>
      <w:r w:rsidRPr="00517FEA">
        <w:rPr>
          <w:color w:val="000000"/>
        </w:rPr>
        <w:t>О</w:t>
      </w:r>
      <w:proofErr w:type="gramEnd"/>
      <w:r w:rsidRPr="00517FEA">
        <w:rPr>
          <w:color w:val="000000"/>
        </w:rPr>
        <w:t>глы</w:t>
      </w:r>
      <w:proofErr w:type="spellEnd"/>
      <w:r w:rsidRPr="00517FEA">
        <w:rPr>
          <w:color w:val="000000"/>
        </w:rPr>
        <w:t>, ООО "</w:t>
      </w:r>
      <w:proofErr w:type="spellStart"/>
      <w:r w:rsidRPr="00517FEA">
        <w:rPr>
          <w:color w:val="000000"/>
        </w:rPr>
        <w:t>МегаСтройПолис</w:t>
      </w:r>
      <w:proofErr w:type="spellEnd"/>
      <w:r w:rsidRPr="00517FEA">
        <w:rPr>
          <w:color w:val="000000"/>
        </w:rPr>
        <w:t xml:space="preserve">", ИНН 7724214183, ЗАО "Строительная компания "ПРАГМА"- Ренессанс XXI век", ИНН 7733136100), КД 041-1/КЛФ-2012 от 10.04.2012, КД 192-1/КЛФ-2011 от 17.08.2011, КД 236-1/КЛФ-2010 от 23.11.2010, определение АС г. Москвы от 07.06.2022 по делу А40-219226/2017-184-287 о включении в РТК </w:t>
      </w:r>
      <w:proofErr w:type="gramStart"/>
      <w:r w:rsidRPr="00517FEA">
        <w:rPr>
          <w:color w:val="000000"/>
        </w:rPr>
        <w:t>третьей очереди, как обеспеченные залогом имущества должника, определение АС г. Москвы от 14.11.2022 по делу А40-219226/2017-184-287 о включении в РТК третьей очереди, как обеспеченные залогом имущества должника, постановление 9ААС г. Москвы от 26.10.2022 по делу А40-219226/2017 о включении в РТК третьей очереди, КД 273-1/КЛФ-2011 от 16.11.2011, определение АС Московской области от 23.07.2019 по делу А41-106086/18 о</w:t>
      </w:r>
      <w:proofErr w:type="gramEnd"/>
      <w:r w:rsidRPr="00517FEA">
        <w:rPr>
          <w:color w:val="000000"/>
        </w:rPr>
        <w:t xml:space="preserve"> </w:t>
      </w:r>
      <w:proofErr w:type="gramStart"/>
      <w:r w:rsidRPr="00517FEA">
        <w:rPr>
          <w:color w:val="000000"/>
        </w:rPr>
        <w:t>включении в РТК третьей очереди, определение АС Московской области от 30.12.2020 по делу А41-106086/18 о внесении изменений в РТК, постановление 10АП-11375/2021 9ААС Москвы от 06.09.2021 по делу А41-106086/18 о внесении изменений в РТК, определение АС Московской области от 13.05.2022 по делу А41-106086/18 о внесении изменений в РТК, определение  АС Москвы от  26.11.2021 по делу А40-55685/20-95-104Ф</w:t>
      </w:r>
      <w:proofErr w:type="gramEnd"/>
      <w:r w:rsidRPr="00517FEA">
        <w:rPr>
          <w:color w:val="000000"/>
        </w:rPr>
        <w:t xml:space="preserve"> </w:t>
      </w:r>
      <w:proofErr w:type="gramStart"/>
      <w:r w:rsidRPr="00517FEA">
        <w:rPr>
          <w:color w:val="000000"/>
        </w:rPr>
        <w:t>о включении в РТК третьей очереди, определение АС г. Москвы от 11.03.2019 по делу А40-178380/18-30-191Б о включении в РТК третьей очереди, определение АС г. Москвы от 25.08.2021 по делу А40-129255/20-128-215 о включении в РТК третьей очереди, должники  и поручители находятся в стадии банкротства (1 670 606 285,05 руб.) - 1 670 606 285,05 руб.;</w:t>
      </w:r>
      <w:proofErr w:type="gramEnd"/>
    </w:p>
    <w:p w14:paraId="61B08132" w14:textId="06A6468F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3 - ООО "Катерина Парк", ИНН 7726644209, ООО "ЛИНТЕРПЮРЕ ЛТД" </w:t>
      </w:r>
      <w:proofErr w:type="spellStart"/>
      <w:r w:rsidRPr="00517FEA">
        <w:rPr>
          <w:color w:val="000000"/>
        </w:rPr>
        <w:t>рег.номер</w:t>
      </w:r>
      <w:proofErr w:type="spellEnd"/>
      <w:r w:rsidRPr="00517FEA">
        <w:rPr>
          <w:color w:val="000000"/>
        </w:rPr>
        <w:t xml:space="preserve"> НЕ 192606, Республика Кипр, КД 252-1/КЛ-2010 от 10.12.2010, КД 45208/160Л-06 от 23.11.2006, КД 45208/166Л-07 от 11.09.2007, постановление 9ААС г.</w:t>
      </w:r>
      <w:r>
        <w:rPr>
          <w:color w:val="000000"/>
        </w:rPr>
        <w:t xml:space="preserve"> </w:t>
      </w:r>
      <w:r w:rsidRPr="00517FEA">
        <w:rPr>
          <w:color w:val="000000"/>
        </w:rPr>
        <w:t xml:space="preserve">Москвы от 13.05.2021 по делу </w:t>
      </w:r>
      <w:r w:rsidRPr="00517FEA">
        <w:rPr>
          <w:color w:val="000000"/>
        </w:rPr>
        <w:lastRenderedPageBreak/>
        <w:t>А40-48220/20-90-60</w:t>
      </w:r>
      <w:proofErr w:type="gramStart"/>
      <w:r w:rsidRPr="00517FEA">
        <w:rPr>
          <w:color w:val="000000"/>
        </w:rPr>
        <w:t xml:space="preserve"> Б</w:t>
      </w:r>
      <w:proofErr w:type="gramEnd"/>
      <w:r w:rsidRPr="00517FEA">
        <w:rPr>
          <w:color w:val="000000"/>
        </w:rPr>
        <w:t xml:space="preserve"> о включении в РТК третьей очереди, определение АС г.</w:t>
      </w:r>
      <w:r>
        <w:rPr>
          <w:color w:val="000000"/>
        </w:rPr>
        <w:t xml:space="preserve"> </w:t>
      </w:r>
      <w:r w:rsidRPr="00517FEA">
        <w:rPr>
          <w:color w:val="000000"/>
        </w:rPr>
        <w:t>Москвы от 26.10.2021 по делу А40-48220/20-90-60 Б  о включении в РТК третьей очереди, определение АС г.</w:t>
      </w:r>
      <w:r>
        <w:rPr>
          <w:color w:val="000000"/>
        </w:rPr>
        <w:t xml:space="preserve"> </w:t>
      </w:r>
      <w:r w:rsidRPr="00517FEA">
        <w:rPr>
          <w:color w:val="000000"/>
        </w:rPr>
        <w:t>Москвы от 26.10.2021 по делу А40-48220/20-90-60</w:t>
      </w:r>
      <w:proofErr w:type="gramStart"/>
      <w:r w:rsidRPr="00517FEA">
        <w:rPr>
          <w:color w:val="000000"/>
        </w:rPr>
        <w:t xml:space="preserve"> Б</w:t>
      </w:r>
      <w:proofErr w:type="gramEnd"/>
      <w:r w:rsidRPr="00517FEA">
        <w:rPr>
          <w:color w:val="000000"/>
        </w:rPr>
        <w:t xml:space="preserve">  о включении в РТК третьей очереди, КД 45208/160L-06 от 23.11.2006, решение АС г.</w:t>
      </w:r>
      <w:r>
        <w:rPr>
          <w:color w:val="000000"/>
        </w:rPr>
        <w:t xml:space="preserve"> </w:t>
      </w:r>
      <w:r w:rsidRPr="00517FEA">
        <w:rPr>
          <w:color w:val="000000"/>
        </w:rPr>
        <w:t>Москвы от 08.06.2022 по делу А40-80719/20-7-610, ООО "Катерина Парк", ИНН 7726644209 находится в стадии банкротства (5 174 340 879,73 руб.) - 5 174 340 879,73 руб.;</w:t>
      </w:r>
    </w:p>
    <w:p w14:paraId="4B5946B0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>Лот 4 - ООО "Финансово-торговая компания", ИНН 4100022502, КД 012-1/КЛ-2015 от 19.05.2015, определение АС г. Москвы от 15.07.2019 по делу А40-186166/18-74-261Б о включении в РТК третьей очереди, должник находится в стадии банкротства (29 205 721,22 руб.) - 29 205 721,22 руб.;</w:t>
      </w:r>
    </w:p>
    <w:p w14:paraId="3AF99A84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>Лот 5 - АО "ГЛОБИНВЕСТСТРОЙ", ИНН 7730500827, определение АС Московской области от 20.02.2018 по делу А41-36831/2012 о включении в РТК четвертой очереди, находятся в стадии банкротства (150 000 000,00 руб.) - 150 000 000,00 руб.;</w:t>
      </w:r>
    </w:p>
    <w:p w14:paraId="14A985DC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6 - Курбатов Владимир Владимирович (поручитель </w:t>
      </w:r>
      <w:proofErr w:type="spellStart"/>
      <w:r w:rsidRPr="00517FEA">
        <w:rPr>
          <w:color w:val="000000"/>
        </w:rPr>
        <w:t>Комоновой</w:t>
      </w:r>
      <w:proofErr w:type="spellEnd"/>
      <w:r w:rsidRPr="00517FEA">
        <w:rPr>
          <w:color w:val="000000"/>
        </w:rPr>
        <w:t xml:space="preserve"> Любови Кирилловны, в отношении которой завершена процедура банкротства с условием освобождения от обязательств), КД 177-1/</w:t>
      </w:r>
      <w:proofErr w:type="gramStart"/>
      <w:r w:rsidRPr="00517FEA">
        <w:rPr>
          <w:color w:val="000000"/>
        </w:rPr>
        <w:t>Ц</w:t>
      </w:r>
      <w:proofErr w:type="gramEnd"/>
      <w:r w:rsidRPr="00517FEA">
        <w:rPr>
          <w:color w:val="000000"/>
        </w:rPr>
        <w:t xml:space="preserve"> от 28.07.2011, определение АС г. Москвы от 07.06.2021 по делу А40-101518/20-95-172 о включении в РТК третьей очереди, находится в стадии банкротства (384 443 406,86 руб.) - 384 443 406,86 руб.;</w:t>
      </w:r>
    </w:p>
    <w:p w14:paraId="4680FC79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7 - </w:t>
      </w:r>
      <w:proofErr w:type="spellStart"/>
      <w:r w:rsidRPr="00517FEA">
        <w:rPr>
          <w:color w:val="000000"/>
        </w:rPr>
        <w:t>Эйкенрот</w:t>
      </w:r>
      <w:proofErr w:type="spellEnd"/>
      <w:r w:rsidRPr="00517FEA">
        <w:rPr>
          <w:color w:val="000000"/>
        </w:rPr>
        <w:t xml:space="preserve"> Евгений Николаевич, поручитель ООО «РИАЛТОРГ», ИНН 7705701738, КД 007-1/КЛФ-2015, определение АС г. Москвы от 06.10.2022 по делу А40-22105/2021-66-60 о включении в РТК третьей очереди, как обеспеченного залогом, определение АС г. Москвы от 06.10.2022 по делу А40-22105/2021-66-60 о включении в РТК третьей очереди, определение АС </w:t>
      </w:r>
      <w:proofErr w:type="spellStart"/>
      <w:r w:rsidRPr="00517FEA">
        <w:rPr>
          <w:color w:val="000000"/>
        </w:rPr>
        <w:t>г</w:t>
      </w:r>
      <w:proofErr w:type="gramStart"/>
      <w:r w:rsidRPr="00517FEA">
        <w:rPr>
          <w:color w:val="000000"/>
        </w:rPr>
        <w:t>.М</w:t>
      </w:r>
      <w:proofErr w:type="gramEnd"/>
      <w:r w:rsidRPr="00517FEA">
        <w:rPr>
          <w:color w:val="000000"/>
        </w:rPr>
        <w:t>осквы</w:t>
      </w:r>
      <w:proofErr w:type="spellEnd"/>
      <w:r w:rsidRPr="00517FEA">
        <w:rPr>
          <w:color w:val="000000"/>
        </w:rPr>
        <w:t xml:space="preserve"> от 18.06.2018 по делу А40-194746/16-174-322 о включении в РТК третьей очереди, </w:t>
      </w:r>
      <w:proofErr w:type="spellStart"/>
      <w:r w:rsidRPr="00517FEA">
        <w:rPr>
          <w:color w:val="000000"/>
        </w:rPr>
        <w:t>Эйкенрот</w:t>
      </w:r>
      <w:proofErr w:type="spellEnd"/>
      <w:r w:rsidRPr="00517FEA">
        <w:rPr>
          <w:color w:val="000000"/>
        </w:rPr>
        <w:t xml:space="preserve"> Е.Н. находится в стадии банкротства (16 602 861,75 руб.) - 16 602 861,75 руб.;</w:t>
      </w:r>
    </w:p>
    <w:p w14:paraId="5D628699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8 - </w:t>
      </w:r>
      <w:proofErr w:type="spellStart"/>
      <w:r w:rsidRPr="00517FEA">
        <w:rPr>
          <w:color w:val="000000"/>
        </w:rPr>
        <w:t>Рощупкин</w:t>
      </w:r>
      <w:proofErr w:type="spellEnd"/>
      <w:r w:rsidRPr="00517FEA">
        <w:rPr>
          <w:color w:val="000000"/>
        </w:rPr>
        <w:t xml:space="preserve"> Сергей Валерьевич, поручители ООО «Фитнес клуб «Зебра - Митино», ИНН 7733791268, «Фитнес клуб «Зебра - Ярославка», ИНН 7716707925, «Фитнес клуб «Зебр</w:t>
      </w:r>
      <w:proofErr w:type="gramStart"/>
      <w:r w:rsidRPr="00517FEA">
        <w:rPr>
          <w:color w:val="000000"/>
        </w:rPr>
        <w:t>а-</w:t>
      </w:r>
      <w:proofErr w:type="gramEnd"/>
      <w:r w:rsidRPr="00517FEA">
        <w:rPr>
          <w:color w:val="000000"/>
        </w:rPr>
        <w:t xml:space="preserve"> Ботанический сад», ИНН 7716687700, «Фитнес клуб «Зебра на Ленинградке», ИНН 7743842698, «Фитнес клуб «Зебра-Реутов», ИНН 5012072714, КД 095-1/КЛФ-2013 (в ред. ДС№5) от 21.03.2016, КД 033-1/КЛФ-2014 от 07.04.2014, определение АС Калининградской области от 23.04.2018 по делу А21-9270/2017 о включении в РТК третьей очереди, решение Савеловского районного суда г. Москвы от 25.02.2017 по делу 2-311/2015, </w:t>
      </w:r>
      <w:proofErr w:type="spellStart"/>
      <w:r w:rsidRPr="00517FEA">
        <w:rPr>
          <w:color w:val="000000"/>
        </w:rPr>
        <w:t>Рощупкин</w:t>
      </w:r>
      <w:proofErr w:type="spellEnd"/>
      <w:r w:rsidRPr="00517FEA">
        <w:rPr>
          <w:color w:val="000000"/>
        </w:rPr>
        <w:t xml:space="preserve"> С.В. находится в стадии банкротства, в отношении поручителей истек срок предъявления исполнительных документов (1 656 057 966,17 руб.) - 1 656 057 966,17 руб.;</w:t>
      </w:r>
    </w:p>
    <w:p w14:paraId="27D270DA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7FEA">
        <w:rPr>
          <w:color w:val="000000"/>
        </w:rPr>
        <w:t xml:space="preserve">Лот 9 - </w:t>
      </w:r>
      <w:proofErr w:type="spellStart"/>
      <w:r w:rsidRPr="00517FEA">
        <w:rPr>
          <w:color w:val="000000"/>
        </w:rPr>
        <w:t>Аржаков</w:t>
      </w:r>
      <w:proofErr w:type="spellEnd"/>
      <w:r w:rsidRPr="00517FEA">
        <w:rPr>
          <w:color w:val="000000"/>
        </w:rPr>
        <w:t xml:space="preserve"> Михаил Владимирович, КД 191-1/КЛФ-2011 от 16.08.2011 (98 498 946,27 долл. США), КД 130-1/КЛФ-2010 от 21.07.2010 (598 683,94 долл. США), КД 73962 от 08.10.2014 (29 732,97 евро), определение АС г. Москвы от 08.10.2021 по делу А40-117891/20-160-147 о включении в РТК третьей очереди,  определение АС г. Москвы от 10.03.2022 по делу А40-117891/20-160-147 об исправлении опечатки</w:t>
      </w:r>
      <w:proofErr w:type="gramEnd"/>
      <w:r w:rsidRPr="00517FEA">
        <w:rPr>
          <w:color w:val="000000"/>
        </w:rPr>
        <w:t>, находится в процедуре банкротства (1 338 443 272,04 руб.) - 1 338 443 272,04 руб.;</w:t>
      </w:r>
    </w:p>
    <w:p w14:paraId="4F4029CB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>Лот 10 - Права требования к 6 физическим лицам, г. Москва, имеются должники, по которым истек срок исковой давности, истек срок для повторного предъявления исполнительного листа (1 077 830,96 руб.) - 1 077 830,96 руб.;</w:t>
      </w:r>
    </w:p>
    <w:p w14:paraId="6B903F57" w14:textId="77777777" w:rsidR="00517FEA" w:rsidRP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>Лот 11 - Хайруллин Артур Маратович, КД 77-КД-13906-2008 от 04.02.2008, определение АС г. Москвы от 22.10.2021 по делу А40-221734/20-38-389 «ИП» о включении в РТК третьей очереди, находится в стадии банкротства (30 329 551,28 руб.) - 30 329 551,28 руб.;</w:t>
      </w:r>
    </w:p>
    <w:p w14:paraId="5A0E7F87" w14:textId="447AE891" w:rsidR="00517FEA" w:rsidRDefault="00517FEA" w:rsidP="00517F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FEA">
        <w:rPr>
          <w:color w:val="000000"/>
        </w:rPr>
        <w:t xml:space="preserve">Лот 12 - </w:t>
      </w:r>
      <w:proofErr w:type="spellStart"/>
      <w:r w:rsidRPr="00517FEA">
        <w:rPr>
          <w:color w:val="000000"/>
        </w:rPr>
        <w:t>Ратникова</w:t>
      </w:r>
      <w:proofErr w:type="spellEnd"/>
      <w:r w:rsidRPr="00517FEA">
        <w:rPr>
          <w:color w:val="000000"/>
        </w:rPr>
        <w:t xml:space="preserve"> Валентина Васильевна, КД 014-1/КФ-2016 от 23.09.2016, решение Тверского районного суда г. Москвы от 12.12.2017 по делу 02-4352/2017, постановление 9ААС г. Москвы от 17.09.2018 по делу А40-251578/16 (191 118,15 </w:t>
      </w:r>
      <w:proofErr w:type="spellStart"/>
      <w:r w:rsidRPr="00517FEA">
        <w:rPr>
          <w:color w:val="000000"/>
        </w:rPr>
        <w:t>долл</w:t>
      </w:r>
      <w:proofErr w:type="gramStart"/>
      <w:r w:rsidRPr="00517FEA">
        <w:rPr>
          <w:color w:val="000000"/>
        </w:rPr>
        <w:t>.С</w:t>
      </w:r>
      <w:proofErr w:type="gramEnd"/>
      <w:r w:rsidRPr="00517FEA">
        <w:rPr>
          <w:color w:val="000000"/>
        </w:rPr>
        <w:t>ША</w:t>
      </w:r>
      <w:proofErr w:type="spellEnd"/>
      <w:r w:rsidRPr="00517FEA">
        <w:rPr>
          <w:color w:val="000000"/>
        </w:rPr>
        <w:t>) (43 121 96</w:t>
      </w:r>
      <w:r>
        <w:rPr>
          <w:color w:val="000000"/>
        </w:rPr>
        <w:t>4,87 руб.) - 43 121 964,87 руб.</w:t>
      </w:r>
    </w:p>
    <w:p w14:paraId="08A89069" w14:textId="098EE7EF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17FEA">
        <w:rPr>
          <w:color w:val="000000"/>
        </w:rPr>
        <w:t>ов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lastRenderedPageBreak/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3B7F5E53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517FEA">
        <w:rPr>
          <w:b/>
          <w:bCs/>
          <w:color w:val="000000"/>
        </w:rPr>
        <w:t>02 декабря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1246786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517FEA" w:rsidRPr="00517FEA">
        <w:rPr>
          <w:b/>
          <w:bCs/>
          <w:color w:val="000000"/>
        </w:rPr>
        <w:t xml:space="preserve">02 декабря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</w:t>
      </w:r>
      <w:r w:rsidR="00517FEA">
        <w:rPr>
          <w:color w:val="000000"/>
        </w:rPr>
        <w:t>ы</w:t>
      </w:r>
      <w:r w:rsidRPr="00315E22">
        <w:rPr>
          <w:color w:val="000000"/>
        </w:rPr>
        <w:t xml:space="preserve"> не реализован</w:t>
      </w:r>
      <w:r w:rsidR="00517FEA">
        <w:rPr>
          <w:color w:val="000000"/>
        </w:rPr>
        <w:t>ы</w:t>
      </w:r>
      <w:r w:rsidRPr="00315E22">
        <w:rPr>
          <w:color w:val="000000"/>
        </w:rPr>
        <w:t xml:space="preserve">, то в 14:00 часов по московскому времени </w:t>
      </w:r>
      <w:r w:rsidR="003E0957">
        <w:rPr>
          <w:b/>
          <w:bCs/>
          <w:color w:val="000000"/>
        </w:rPr>
        <w:t>2</w:t>
      </w:r>
      <w:r w:rsidR="00517FEA">
        <w:rPr>
          <w:b/>
          <w:bCs/>
          <w:color w:val="000000"/>
        </w:rPr>
        <w:t>8</w:t>
      </w:r>
      <w:r w:rsidR="003E0957">
        <w:rPr>
          <w:b/>
          <w:bCs/>
          <w:color w:val="000000"/>
        </w:rPr>
        <w:t xml:space="preserve"> января</w:t>
      </w:r>
      <w:r w:rsidR="008E00D8" w:rsidRPr="008E00D8">
        <w:rPr>
          <w:b/>
          <w:bCs/>
          <w:color w:val="000000"/>
        </w:rPr>
        <w:t xml:space="preserve"> 202</w:t>
      </w:r>
      <w:r w:rsidR="003E095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17FEA">
        <w:rPr>
          <w:color w:val="000000"/>
        </w:rPr>
        <w:t>ов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58A9D39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17FEA">
        <w:rPr>
          <w:b/>
          <w:bCs/>
          <w:color w:val="000000"/>
        </w:rPr>
        <w:t>22</w:t>
      </w:r>
      <w:r w:rsidR="005D73C6" w:rsidRPr="00315E22">
        <w:rPr>
          <w:b/>
          <w:bCs/>
          <w:color w:val="000000"/>
        </w:rPr>
        <w:t xml:space="preserve"> </w:t>
      </w:r>
      <w:r w:rsidR="003E0957">
        <w:rPr>
          <w:b/>
          <w:bCs/>
          <w:color w:val="000000"/>
        </w:rPr>
        <w:t>октября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E0957">
        <w:rPr>
          <w:b/>
          <w:bCs/>
          <w:color w:val="000000"/>
        </w:rPr>
        <w:t>0</w:t>
      </w:r>
      <w:r w:rsidR="00517FEA">
        <w:rPr>
          <w:b/>
          <w:bCs/>
          <w:color w:val="000000"/>
        </w:rPr>
        <w:t>9</w:t>
      </w:r>
      <w:r w:rsidR="003E0957">
        <w:rPr>
          <w:b/>
          <w:bCs/>
          <w:color w:val="000000"/>
        </w:rPr>
        <w:t xml:space="preserve"> декабря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577CA642" w14:textId="57888B4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физические и юридические лица (далее – Заявитель), зарегистрированные в установленном порядке на ЭТП. Для участия в Торгах Заявитель представляет Оператору заявку на участие в Торгах.</w:t>
      </w:r>
    </w:p>
    <w:p w14:paraId="64031B06" w14:textId="1A6CDC62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315E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E22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315E22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4928E673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04942E20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411DB6A6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8E19B32" w14:textId="4C867130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20B9923" w14:textId="6D69EDD5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15E22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End"/>
      <w:r w:rsidRPr="00315E22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315E22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315E22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gramStart"/>
      <w:r w:rsidRPr="00315E22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Pr="00315E22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6F46E5A8" w14:textId="30DF9013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77A51767" w14:textId="008D4F57" w:rsidR="008E00D8" w:rsidRPr="00315E22" w:rsidRDefault="008E00D8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0BA6EBAB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5E837905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>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="00572504">
        <w:rPr>
          <w:rFonts w:ascii="Times New Roman" w:hAnsi="Times New Roman" w:cs="Times New Roman"/>
          <w:color w:val="000000"/>
          <w:sz w:val="24"/>
          <w:szCs w:val="24"/>
        </w:rPr>
        <w:t>связанных с проведением Торгов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, с заключением Договора, внесенный Победителем задаток ему не возвращается, а Торги признаются несостоявшимися.</w:t>
      </w:r>
    </w:p>
    <w:p w14:paraId="2477EB44" w14:textId="21423912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вправе о</w:t>
      </w:r>
      <w:r w:rsidR="00572504">
        <w:rPr>
          <w:rFonts w:ascii="Times New Roman" w:hAnsi="Times New Roman" w:cs="Times New Roman"/>
          <w:color w:val="000000"/>
          <w:sz w:val="24"/>
          <w:szCs w:val="24"/>
        </w:rPr>
        <w:t xml:space="preserve">тказаться </w:t>
      </w:r>
      <w:proofErr w:type="gramStart"/>
      <w:r w:rsidR="0057250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572504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3 (Три) дня до даты подведения итогов Торгов.</w:t>
      </w:r>
    </w:p>
    <w:p w14:paraId="75DDE335" w14:textId="53EBEDEA" w:rsidR="00572504" w:rsidRPr="00FC4FB9" w:rsidRDefault="003E0957" w:rsidP="00572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095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</w:t>
      </w:r>
      <w:r w:rsidR="00517FEA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с 10:00 до 17:00 </w:t>
      </w:r>
      <w:r w:rsidRPr="003E0957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8-800-505-80-32, 8-800-200-08-05, электронная почта etorgi@asv.org.ru</w:t>
      </w:r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Pr="003E0957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8" w:history="1">
        <w:r w:rsidR="00B33089" w:rsidRPr="00FE54B7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B33089">
        <w:rPr>
          <w:rFonts w:ascii="Times New Roman" w:hAnsi="Times New Roman" w:cs="Times New Roman"/>
          <w:color w:val="000000"/>
          <w:sz w:val="24"/>
          <w:szCs w:val="24"/>
        </w:rPr>
        <w:t xml:space="preserve"> (лоты </w:t>
      </w:r>
      <w:r w:rsidR="00B33089">
        <w:rPr>
          <w:rFonts w:ascii="Times New Roman" w:hAnsi="Times New Roman" w:cs="Times New Roman"/>
          <w:color w:val="000000"/>
          <w:sz w:val="24"/>
          <w:szCs w:val="24"/>
        </w:rPr>
        <w:lastRenderedPageBreak/>
        <w:t>1-9, 11, 12), тел. 8-</w:t>
      </w:r>
      <w:r w:rsidR="00B33089" w:rsidRPr="00B33089">
        <w:rPr>
          <w:rFonts w:ascii="Times New Roman" w:hAnsi="Times New Roman" w:cs="Times New Roman"/>
          <w:color w:val="000000"/>
          <w:sz w:val="24"/>
          <w:szCs w:val="24"/>
        </w:rPr>
        <w:t xml:space="preserve">967-246-44-05, эл. почта:  </w:t>
      </w:r>
      <w:hyperlink r:id="rId9" w:history="1">
        <w:r w:rsidR="00B33089" w:rsidRPr="00FE54B7">
          <w:rPr>
            <w:rStyle w:val="a4"/>
            <w:rFonts w:ascii="Times New Roman" w:hAnsi="Times New Roman"/>
            <w:sz w:val="24"/>
            <w:szCs w:val="24"/>
          </w:rPr>
          <w:t>krylov@auction-house.ru</w:t>
        </w:r>
      </w:hyperlink>
      <w:r w:rsidR="00B33089">
        <w:rPr>
          <w:rFonts w:ascii="Times New Roman" w:hAnsi="Times New Roman" w:cs="Times New Roman"/>
          <w:color w:val="000000"/>
          <w:sz w:val="24"/>
          <w:szCs w:val="24"/>
        </w:rPr>
        <w:t xml:space="preserve"> (лот 10)</w:t>
      </w:r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</w:t>
      </w:r>
      <w:proofErr w:type="gramEnd"/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72504" w:rsidRPr="00FC4FB9">
        <w:rPr>
          <w:rFonts w:ascii="Times New Roman" w:hAnsi="Times New Roman" w:cs="Times New Roman"/>
          <w:color w:val="000000"/>
          <w:sz w:val="24"/>
          <w:szCs w:val="24"/>
        </w:rPr>
        <w:t>участия в торгах.</w:t>
      </w:r>
      <w:proofErr w:type="gramEnd"/>
    </w:p>
    <w:p w14:paraId="54DCA386" w14:textId="77777777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</w:t>
      </w:r>
      <w:bookmarkStart w:id="0" w:name="_GoBack"/>
      <w:bookmarkEnd w:id="0"/>
      <w:r w:rsidRPr="008E00D8">
        <w:rPr>
          <w:rFonts w:ascii="Times New Roman" w:hAnsi="Times New Roman" w:cs="Times New Roman"/>
          <w:color w:val="000000"/>
          <w:sz w:val="24"/>
          <w:szCs w:val="24"/>
        </w:rPr>
        <w:t>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E0957"/>
    <w:rsid w:val="0041608A"/>
    <w:rsid w:val="00447948"/>
    <w:rsid w:val="0046160E"/>
    <w:rsid w:val="00466B6B"/>
    <w:rsid w:val="00467D6B"/>
    <w:rsid w:val="0047507E"/>
    <w:rsid w:val="004F4360"/>
    <w:rsid w:val="00515CBE"/>
    <w:rsid w:val="00517FEA"/>
    <w:rsid w:val="00540B57"/>
    <w:rsid w:val="00554E2D"/>
    <w:rsid w:val="00564010"/>
    <w:rsid w:val="00572504"/>
    <w:rsid w:val="005A1E57"/>
    <w:rsid w:val="005D73C6"/>
    <w:rsid w:val="005D7964"/>
    <w:rsid w:val="00607DC4"/>
    <w:rsid w:val="00610CA0"/>
    <w:rsid w:val="0061204D"/>
    <w:rsid w:val="00627D8A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6279B"/>
    <w:rsid w:val="007742EE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E00D8"/>
    <w:rsid w:val="00914541"/>
    <w:rsid w:val="00914D34"/>
    <w:rsid w:val="00952ED1"/>
    <w:rsid w:val="0096537F"/>
    <w:rsid w:val="009730D9"/>
    <w:rsid w:val="00991327"/>
    <w:rsid w:val="00997084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1F98"/>
    <w:rsid w:val="00B33089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yl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2335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37</cp:revision>
  <cp:lastPrinted>2023-07-06T09:26:00Z</cp:lastPrinted>
  <dcterms:created xsi:type="dcterms:W3CDTF">2023-07-06T09:54:00Z</dcterms:created>
  <dcterms:modified xsi:type="dcterms:W3CDTF">2024-10-15T09:53:00Z</dcterms:modified>
</cp:coreProperties>
</file>