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4D77F" w14:textId="6A94CBAC" w:rsidR="00B05BB1" w:rsidRPr="00250052" w:rsidRDefault="00D4301D" w:rsidP="009E60F6">
      <w:pPr>
        <w:jc w:val="both"/>
        <w:outlineLvl w:val="0"/>
      </w:pPr>
      <w:r w:rsidRPr="00D4301D">
        <w:rPr>
          <w:b/>
          <w:bCs/>
        </w:rPr>
        <w:t>Акционерное общество «Российский аукционный дом» сообщает о проведении аукциона в электронной форме по продаже имущества, находящегося в залоге ПАО СКБ Приморья «</w:t>
      </w:r>
      <w:proofErr w:type="spellStart"/>
      <w:r w:rsidRPr="00D4301D">
        <w:rPr>
          <w:b/>
          <w:bCs/>
        </w:rPr>
        <w:t>Примсоцбанк</w:t>
      </w:r>
      <w:proofErr w:type="spellEnd"/>
      <w:r w:rsidRPr="00D4301D">
        <w:rPr>
          <w:b/>
          <w:bCs/>
        </w:rPr>
        <w:t xml:space="preserve">», реализуемого в рамках банкротства </w:t>
      </w:r>
      <w:r w:rsidR="00761F6B">
        <w:rPr>
          <w:b/>
          <w:bCs/>
        </w:rPr>
        <w:t>Исаченко Елены Александровны</w:t>
      </w:r>
      <w:r w:rsidR="00761F6B" w:rsidRPr="00E934C1">
        <w:rPr>
          <w:b/>
          <w:bCs/>
        </w:rPr>
        <w:t xml:space="preserve">, </w:t>
      </w:r>
      <w:r w:rsidR="00761F6B" w:rsidRPr="00E934C1">
        <w:t xml:space="preserve">ИНН </w:t>
      </w:r>
      <w:r w:rsidR="00761F6B">
        <w:t>543806172698</w:t>
      </w:r>
      <w:r w:rsidR="00761F6B" w:rsidRPr="00E934C1">
        <w:t xml:space="preserve">, СНИЛС </w:t>
      </w:r>
      <w:r w:rsidR="00761F6B">
        <w:t>024-522-852 27</w:t>
      </w:r>
      <w:r w:rsidR="00761F6B" w:rsidRPr="00E934C1">
        <w:t>,</w:t>
      </w:r>
      <w:r w:rsidR="00761F6B">
        <w:t xml:space="preserve"> </w:t>
      </w:r>
      <w:r w:rsidR="00761F6B" w:rsidRPr="00E934C1">
        <w:t>именуемый в дальнейшем «До</w:t>
      </w:r>
      <w:r w:rsidR="00761F6B">
        <w:t>лжник</w:t>
      </w:r>
      <w:r w:rsidR="00761F6B" w:rsidRPr="00E934C1">
        <w:t xml:space="preserve">», в лице финансового управляющего </w:t>
      </w:r>
      <w:proofErr w:type="spellStart"/>
      <w:r w:rsidR="00761F6B">
        <w:t>Целуева</w:t>
      </w:r>
      <w:proofErr w:type="spellEnd"/>
      <w:r w:rsidR="00761F6B">
        <w:t xml:space="preserve"> Арсения Александровича </w:t>
      </w:r>
      <w:r w:rsidR="00761F6B" w:rsidRPr="00E934C1">
        <w:t xml:space="preserve">(ИНН </w:t>
      </w:r>
      <w:r w:rsidR="00761F6B">
        <w:t>540700632501</w:t>
      </w:r>
      <w:r w:rsidR="00761F6B" w:rsidRPr="00E934C1">
        <w:t xml:space="preserve">, СНИЛС </w:t>
      </w:r>
      <w:r w:rsidR="00761F6B">
        <w:t>143-136-441 27</w:t>
      </w:r>
      <w:r w:rsidR="00761F6B" w:rsidRPr="00E934C1">
        <w:t>), адрес для корреспонденции: 6</w:t>
      </w:r>
      <w:r w:rsidR="00761F6B">
        <w:t>30005</w:t>
      </w:r>
      <w:r w:rsidR="00761F6B" w:rsidRPr="00E934C1">
        <w:t>,</w:t>
      </w:r>
      <w:r w:rsidR="00761F6B">
        <w:t xml:space="preserve"> </w:t>
      </w:r>
      <w:r w:rsidR="00761F6B" w:rsidRPr="00E934C1">
        <w:t xml:space="preserve">г. </w:t>
      </w:r>
      <w:r w:rsidR="00761F6B">
        <w:t>Новосибирск,</w:t>
      </w:r>
      <w:r w:rsidR="00761F6B" w:rsidRPr="00E934C1">
        <w:t xml:space="preserve"> </w:t>
      </w:r>
      <w:r w:rsidR="00761F6B">
        <w:t>а/я 260</w:t>
      </w:r>
      <w:r w:rsidR="00761F6B" w:rsidRPr="00E934C1">
        <w:t xml:space="preserve">, </w:t>
      </w:r>
      <w:proofErr w:type="spellStart"/>
      <w:r w:rsidR="00761F6B" w:rsidRPr="00E934C1">
        <w:t>e-mail</w:t>
      </w:r>
      <w:proofErr w:type="spellEnd"/>
      <w:r w:rsidR="00761F6B" w:rsidRPr="00E934C1">
        <w:t xml:space="preserve">: </w:t>
      </w:r>
      <w:r w:rsidR="00761F6B" w:rsidRPr="00495945">
        <w:t>tseluev@mail.ru</w:t>
      </w:r>
      <w:r w:rsidR="00761F6B" w:rsidRPr="00E934C1">
        <w:t>, тел. 8(</w:t>
      </w:r>
      <w:r w:rsidR="00761F6B">
        <w:t>383</w:t>
      </w:r>
      <w:r w:rsidR="00761F6B" w:rsidRPr="00E934C1">
        <w:t>)</w:t>
      </w:r>
      <w:r w:rsidR="00761F6B">
        <w:t>201-52-39</w:t>
      </w:r>
      <w:r w:rsidR="00761F6B" w:rsidRPr="00E934C1">
        <w:t xml:space="preserve"> - член СРО: А</w:t>
      </w:r>
      <w:r w:rsidR="00761F6B">
        <w:t xml:space="preserve">ССОЦИАЦИЯ АРБИТРАЖНЫХ УПРАВЛЯЮЩИХ «АРСЕНАЛ» </w:t>
      </w:r>
      <w:r w:rsidR="00761F6B" w:rsidRPr="00E934C1">
        <w:t xml:space="preserve">(ОГРН </w:t>
      </w:r>
      <w:r w:rsidR="00761F6B">
        <w:t>1025402478980</w:t>
      </w:r>
      <w:r w:rsidR="00761F6B" w:rsidRPr="00E934C1">
        <w:t xml:space="preserve">, ИНН </w:t>
      </w:r>
      <w:r w:rsidR="00761F6B">
        <w:t>5406240676</w:t>
      </w:r>
      <w:r w:rsidR="00761F6B" w:rsidRPr="00E934C1">
        <w:t xml:space="preserve">, адрес: </w:t>
      </w:r>
      <w:r w:rsidR="00761F6B">
        <w:t>644122</w:t>
      </w:r>
      <w:r w:rsidR="00761F6B" w:rsidRPr="00E934C1">
        <w:t xml:space="preserve">, </w:t>
      </w:r>
      <w:r w:rsidR="00761F6B">
        <w:t>г. Омск</w:t>
      </w:r>
      <w:r w:rsidR="00761F6B" w:rsidRPr="00E934C1">
        <w:t xml:space="preserve">, </w:t>
      </w:r>
      <w:r w:rsidR="00761F6B">
        <w:t>ул. 5 Армии, д.4, оф.1</w:t>
      </w:r>
      <w:r w:rsidR="00761F6B" w:rsidRPr="00E934C1">
        <w:t xml:space="preserve">), действующего в соответствии с Решением Арбитражного суда </w:t>
      </w:r>
      <w:r w:rsidR="00761F6B">
        <w:t>Новосибирской</w:t>
      </w:r>
      <w:r w:rsidR="00761F6B" w:rsidRPr="00E934C1">
        <w:t xml:space="preserve"> области от </w:t>
      </w:r>
      <w:r w:rsidR="00761F6B">
        <w:t>29</w:t>
      </w:r>
      <w:r w:rsidR="00761F6B" w:rsidRPr="00E934C1">
        <w:t>.</w:t>
      </w:r>
      <w:r w:rsidR="00761F6B">
        <w:t>05</w:t>
      </w:r>
      <w:r w:rsidR="00761F6B" w:rsidRPr="00E934C1">
        <w:t>.202</w:t>
      </w:r>
      <w:r w:rsidR="00761F6B">
        <w:t>4</w:t>
      </w:r>
      <w:r w:rsidR="00761F6B" w:rsidRPr="00E934C1">
        <w:t xml:space="preserve"> по делу № А</w:t>
      </w:r>
      <w:r w:rsidR="00761F6B">
        <w:t>45-35594/2023</w:t>
      </w:r>
      <w:r w:rsidRPr="00D4301D">
        <w:t>.</w:t>
      </w:r>
      <w:r w:rsidR="00250052">
        <w:t xml:space="preserve"> </w:t>
      </w:r>
      <w:r w:rsidR="00B05BB1"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="00B05BB1"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="00B05BB1" w:rsidRPr="008751C7">
        <w:rPr>
          <w:bCs/>
        </w:rPr>
        <w:t>АО «Российский аукционный дом».</w:t>
      </w:r>
    </w:p>
    <w:p w14:paraId="6D0F4CCA" w14:textId="77777777" w:rsidR="009E60F6" w:rsidRDefault="009E60F6" w:rsidP="009E60F6">
      <w:pPr>
        <w:jc w:val="both"/>
        <w:outlineLvl w:val="0"/>
        <w:rPr>
          <w:bCs/>
        </w:rPr>
      </w:pPr>
    </w:p>
    <w:p w14:paraId="119D2569" w14:textId="77777777" w:rsidR="001F600A" w:rsidRDefault="001F600A" w:rsidP="0031701D">
      <w:pPr>
        <w:ind w:firstLine="567"/>
        <w:jc w:val="both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057BB20A" w14:textId="7FE590DF" w:rsidR="00761F6B" w:rsidRPr="00725268" w:rsidRDefault="00761F6B" w:rsidP="00761F6B">
      <w:pPr>
        <w:ind w:firstLine="720"/>
        <w:jc w:val="both"/>
        <w:rPr>
          <w:rFonts w:eastAsia="Times New Roman"/>
        </w:rPr>
      </w:pPr>
      <w:bookmarkStart w:id="0" w:name="_Hlk518488158"/>
      <w:r>
        <w:rPr>
          <w:rFonts w:eastAsia="Times New Roman"/>
        </w:rPr>
        <w:t>Ознакомление с предметом торгов осуществляется в рабочие дни по контактным да</w:t>
      </w:r>
      <w:r w:rsidRPr="00C85564">
        <w:rPr>
          <w:rFonts w:eastAsia="Times New Roman"/>
        </w:rPr>
        <w:t>нным тел. 8 967 246-44-2</w:t>
      </w:r>
      <w:r w:rsidR="00C85564" w:rsidRPr="00C85564">
        <w:rPr>
          <w:rFonts w:eastAsia="Times New Roman"/>
        </w:rPr>
        <w:t>8</w:t>
      </w:r>
      <w:r w:rsidRPr="00C85564">
        <w:rPr>
          <w:rFonts w:eastAsia="Times New Roman"/>
        </w:rPr>
        <w:t>, (Мск+</w:t>
      </w:r>
      <w:r w:rsidR="00C85564" w:rsidRPr="00C85564">
        <w:rPr>
          <w:rFonts w:eastAsia="Times New Roman"/>
        </w:rPr>
        <w:t>4</w:t>
      </w:r>
      <w:r w:rsidRPr="00C85564">
        <w:rPr>
          <w:rFonts w:eastAsia="Times New Roman"/>
        </w:rPr>
        <w:t xml:space="preserve"> час</w:t>
      </w:r>
      <w:r w:rsidR="00C85564" w:rsidRPr="00C85564">
        <w:rPr>
          <w:rFonts w:eastAsia="Times New Roman"/>
        </w:rPr>
        <w:t>а</w:t>
      </w:r>
      <w:r w:rsidRPr="00C85564">
        <w:rPr>
          <w:rFonts w:eastAsia="Times New Roman"/>
        </w:rPr>
        <w:t xml:space="preserve">) </w:t>
      </w:r>
      <w:r w:rsidR="00C85564" w:rsidRPr="00C85564">
        <w:rPr>
          <w:rFonts w:eastAsia="Times New Roman"/>
        </w:rPr>
        <w:t>Лепихин Алексей</w:t>
      </w:r>
      <w:r w:rsidRPr="00C85564">
        <w:rPr>
          <w:rFonts w:eastAsia="Times New Roman"/>
        </w:rPr>
        <w:t xml:space="preserve">, эл. адрес: </w:t>
      </w:r>
      <w:hyperlink r:id="rId8" w:history="1">
        <w:r w:rsidR="00C85564" w:rsidRPr="00C85564">
          <w:rPr>
            <w:rStyle w:val="af0"/>
            <w:lang w:val="en-US"/>
          </w:rPr>
          <w:t>novosibirsk</w:t>
        </w:r>
        <w:r w:rsidR="00C85564" w:rsidRPr="00C85564">
          <w:rPr>
            <w:rStyle w:val="af0"/>
          </w:rPr>
          <w:t>@auction-house.ru</w:t>
        </w:r>
      </w:hyperlink>
      <w:r w:rsidRPr="00C85564">
        <w:rPr>
          <w:rFonts w:eastAsia="Times New Roman"/>
        </w:rPr>
        <w:t>. Лица, желающие</w:t>
      </w:r>
      <w:r>
        <w:rPr>
          <w:rFonts w:eastAsia="Times New Roman"/>
        </w:rPr>
        <w:t xml:space="preserve">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 w:rsidRPr="0037714A">
        <w:t xml:space="preserve"> </w:t>
      </w:r>
      <w:r>
        <w:t>А</w:t>
      </w:r>
      <w:r w:rsidRPr="005359EB">
        <w:t>втомобиль</w:t>
      </w:r>
      <w:r>
        <w:t xml:space="preserve"> располагается по адресу: в г. Новосибирск, </w:t>
      </w:r>
      <w:r w:rsidRPr="00B34F0D">
        <w:t>ул. Каменская, 53</w:t>
      </w:r>
      <w:r>
        <w:t>. Осмотр по предварительной договоренности в рабочие дни с 09:00 до 17:00, тел. 8 (383)201-52-39, Арсений Александрович.</w:t>
      </w:r>
    </w:p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6BFCE2C6" w14:textId="46ABBCB0" w:rsidR="00D4301D" w:rsidRPr="00761F6B" w:rsidRDefault="00433E3D" w:rsidP="00D4301D">
      <w:pPr>
        <w:ind w:firstLine="567"/>
        <w:jc w:val="both"/>
        <w:rPr>
          <w:b/>
          <w:bCs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</w:t>
      </w:r>
      <w:proofErr w:type="spellStart"/>
      <w:r w:rsidR="001010EE" w:rsidRPr="001010EE">
        <w:rPr>
          <w:rFonts w:eastAsia="Times New Roman"/>
        </w:rPr>
        <w:t>Примсоцбанк</w:t>
      </w:r>
      <w:proofErr w:type="spellEnd"/>
      <w:r w:rsidR="001010EE" w:rsidRPr="001010EE">
        <w:rPr>
          <w:rFonts w:eastAsia="Times New Roman"/>
        </w:rPr>
        <w:t>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</w:t>
      </w:r>
      <w:r w:rsidR="0042735F" w:rsidRPr="00C704A5">
        <w:rPr>
          <w:rFonts w:eastAsia="Times New Roman"/>
          <w:b/>
          <w:bCs/>
        </w:rPr>
        <w:t>финансовым управляющим</w:t>
      </w:r>
      <w:r w:rsidR="0042735F" w:rsidRPr="0042735F">
        <w:rPr>
          <w:rFonts w:eastAsia="Times New Roman"/>
        </w:rPr>
        <w:t xml:space="preserve"> </w:t>
      </w:r>
      <w:r w:rsidR="00761F6B">
        <w:rPr>
          <w:b/>
          <w:bCs/>
        </w:rPr>
        <w:t>Исаченко Елены Александровны</w:t>
      </w:r>
      <w:r w:rsidR="00761F6B" w:rsidRPr="00E934C1">
        <w:rPr>
          <w:b/>
          <w:bCs/>
        </w:rPr>
        <w:t xml:space="preserve">, </w:t>
      </w:r>
      <w:r w:rsidR="00761F6B" w:rsidRPr="00E934C1">
        <w:t xml:space="preserve">ИНН </w:t>
      </w:r>
      <w:r w:rsidR="00761F6B">
        <w:t>543806172698</w:t>
      </w:r>
      <w:r w:rsidR="00761F6B" w:rsidRPr="00E934C1">
        <w:t xml:space="preserve">, СНИЛС </w:t>
      </w:r>
      <w:r w:rsidR="00761F6B">
        <w:t>024-522-852 27</w:t>
      </w:r>
      <w:r w:rsidR="00761F6B" w:rsidRPr="00E934C1">
        <w:t>,</w:t>
      </w:r>
      <w:r w:rsidR="00761F6B">
        <w:t xml:space="preserve"> </w:t>
      </w:r>
      <w:r w:rsidR="00761F6B" w:rsidRPr="00E934C1">
        <w:t>именуемый в дальнейшем «До</w:t>
      </w:r>
      <w:r w:rsidR="00761F6B">
        <w:t>лжник</w:t>
      </w:r>
      <w:r w:rsidR="00761F6B" w:rsidRPr="00E934C1">
        <w:t xml:space="preserve">», в лице финансового управляющего </w:t>
      </w:r>
      <w:proofErr w:type="spellStart"/>
      <w:r w:rsidR="00761F6B">
        <w:t>Целуева</w:t>
      </w:r>
      <w:proofErr w:type="spellEnd"/>
      <w:r w:rsidR="00761F6B">
        <w:t xml:space="preserve"> Арсения Александровича </w:t>
      </w:r>
      <w:r w:rsidR="00761F6B" w:rsidRPr="00E934C1">
        <w:t xml:space="preserve">(ИНН </w:t>
      </w:r>
      <w:r w:rsidR="00761F6B">
        <w:t>540700632501</w:t>
      </w:r>
      <w:r w:rsidR="00761F6B" w:rsidRPr="00E934C1">
        <w:t xml:space="preserve">, СНИЛС </w:t>
      </w:r>
      <w:r w:rsidR="00761F6B">
        <w:t>143-136-441 27</w:t>
      </w:r>
      <w:r w:rsidR="00761F6B" w:rsidRPr="00E934C1">
        <w:t>), адрес для корреспонденции: 6</w:t>
      </w:r>
      <w:r w:rsidR="00761F6B">
        <w:t>30005</w:t>
      </w:r>
      <w:r w:rsidR="00761F6B" w:rsidRPr="00E934C1">
        <w:t>,</w:t>
      </w:r>
      <w:r w:rsidR="00761F6B">
        <w:t xml:space="preserve"> </w:t>
      </w:r>
      <w:r w:rsidR="00761F6B" w:rsidRPr="00E934C1">
        <w:t xml:space="preserve">г. </w:t>
      </w:r>
      <w:r w:rsidR="00761F6B">
        <w:t>Новосибирск,</w:t>
      </w:r>
      <w:r w:rsidR="00761F6B" w:rsidRPr="00E934C1">
        <w:t xml:space="preserve"> </w:t>
      </w:r>
      <w:r w:rsidR="00761F6B">
        <w:t>а/я 260</w:t>
      </w:r>
      <w:r w:rsidR="00761F6B" w:rsidRPr="00E934C1">
        <w:t xml:space="preserve">, </w:t>
      </w:r>
      <w:proofErr w:type="spellStart"/>
      <w:r w:rsidR="00761F6B" w:rsidRPr="00E934C1">
        <w:t>e-mail</w:t>
      </w:r>
      <w:proofErr w:type="spellEnd"/>
      <w:r w:rsidR="00761F6B" w:rsidRPr="00E934C1">
        <w:t xml:space="preserve">: </w:t>
      </w:r>
      <w:r w:rsidR="00761F6B" w:rsidRPr="00495945">
        <w:t>tseluev@mail.ru</w:t>
      </w:r>
      <w:r w:rsidR="00761F6B" w:rsidRPr="00E934C1">
        <w:t>, тел. 8(</w:t>
      </w:r>
      <w:r w:rsidR="00761F6B">
        <w:t>383</w:t>
      </w:r>
      <w:r w:rsidR="00761F6B" w:rsidRPr="00E934C1">
        <w:t>)</w:t>
      </w:r>
      <w:r w:rsidR="00761F6B">
        <w:t>201-52-39</w:t>
      </w:r>
      <w:r w:rsidR="00761F6B" w:rsidRPr="00E934C1">
        <w:t xml:space="preserve"> - член СРО: А</w:t>
      </w:r>
      <w:r w:rsidR="00761F6B">
        <w:t xml:space="preserve">ССОЦИАЦИЯ АРБИТРАЖНЫХ УПРАВЛЯЮЩИХ «АРСЕНАЛ» </w:t>
      </w:r>
      <w:r w:rsidR="00761F6B" w:rsidRPr="00E934C1">
        <w:t xml:space="preserve">(ОГРН </w:t>
      </w:r>
      <w:r w:rsidR="00761F6B">
        <w:t>1025402478980</w:t>
      </w:r>
      <w:r w:rsidR="00761F6B" w:rsidRPr="00E934C1">
        <w:t xml:space="preserve">, ИНН </w:t>
      </w:r>
      <w:r w:rsidR="00761F6B">
        <w:t>5406240676</w:t>
      </w:r>
      <w:r w:rsidR="00761F6B" w:rsidRPr="00E934C1">
        <w:t xml:space="preserve">, адрес: </w:t>
      </w:r>
      <w:r w:rsidR="00761F6B">
        <w:t>644122</w:t>
      </w:r>
      <w:r w:rsidR="00761F6B" w:rsidRPr="00E934C1">
        <w:t xml:space="preserve">, </w:t>
      </w:r>
      <w:r w:rsidR="00761F6B">
        <w:t>г. Омск</w:t>
      </w:r>
      <w:r w:rsidR="00761F6B" w:rsidRPr="00E934C1">
        <w:t xml:space="preserve">, </w:t>
      </w:r>
      <w:r w:rsidR="00761F6B">
        <w:t>ул. 5 Армии, д.4, оф.1</w:t>
      </w:r>
      <w:r w:rsidR="00761F6B" w:rsidRPr="00E934C1">
        <w:t xml:space="preserve">), действующего в соответствии с </w:t>
      </w:r>
      <w:r w:rsidR="00761F6B" w:rsidRPr="00761F6B">
        <w:rPr>
          <w:b/>
          <w:bCs/>
        </w:rPr>
        <w:t>Решением Арбитражного суда Новосибирской области от 29.05.2024 по делу № А45-35594/2023</w:t>
      </w:r>
      <w:r w:rsidR="00761F6B">
        <w:rPr>
          <w:b/>
          <w:bCs/>
        </w:rPr>
        <w:t>.</w:t>
      </w:r>
    </w:p>
    <w:p w14:paraId="1AC8B995" w14:textId="5F94C90D" w:rsidR="00250052" w:rsidRPr="00250052" w:rsidRDefault="00250052" w:rsidP="00433E3D">
      <w:pPr>
        <w:ind w:firstLine="567"/>
        <w:jc w:val="both"/>
        <w:rPr>
          <w:b/>
          <w:bCs/>
        </w:rPr>
      </w:pPr>
    </w:p>
    <w:p w14:paraId="41098E1D" w14:textId="77777777" w:rsidR="00250052" w:rsidRPr="00547B75" w:rsidRDefault="00250052" w:rsidP="00433E3D">
      <w:pPr>
        <w:ind w:firstLine="567"/>
        <w:jc w:val="both"/>
        <w:rPr>
          <w:rFonts w:eastAsia="Times New Roman"/>
          <w:b/>
        </w:rPr>
      </w:pPr>
    </w:p>
    <w:bookmarkEnd w:id="0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25942CFB" w14:textId="77777777" w:rsidR="00761F6B" w:rsidRDefault="00D4301D" w:rsidP="00761F6B">
      <w:pPr>
        <w:ind w:firstLine="709"/>
        <w:jc w:val="both"/>
        <w:rPr>
          <w:rFonts w:eastAsia="Times New Roman"/>
          <w:lang w:eastAsia="x-none"/>
        </w:rPr>
      </w:pPr>
      <w:r w:rsidRPr="00D4301D">
        <w:rPr>
          <w:rFonts w:eastAsia="Times New Roman"/>
          <w:b/>
          <w:bCs/>
          <w:lang w:eastAsia="x-none"/>
        </w:rPr>
        <w:t xml:space="preserve">Автомобиль, </w:t>
      </w:r>
      <w:r w:rsidR="00761F6B" w:rsidRPr="0080459D">
        <w:rPr>
          <w:rFonts w:eastAsia="Times New Roman"/>
          <w:lang w:eastAsia="x-none"/>
        </w:rPr>
        <w:t xml:space="preserve">марка, модель ТС: </w:t>
      </w:r>
      <w:r w:rsidR="00761F6B">
        <w:rPr>
          <w:rFonts w:eastAsia="Times New Roman"/>
          <w:lang w:val="en-US" w:eastAsia="x-none"/>
        </w:rPr>
        <w:t>Lexus</w:t>
      </w:r>
      <w:r w:rsidR="00761F6B" w:rsidRPr="005C01D4">
        <w:rPr>
          <w:rFonts w:eastAsia="Times New Roman"/>
          <w:lang w:eastAsia="x-none"/>
        </w:rPr>
        <w:t xml:space="preserve"> </w:t>
      </w:r>
      <w:r w:rsidR="00761F6B">
        <w:rPr>
          <w:rFonts w:eastAsia="Times New Roman"/>
          <w:lang w:val="en-US" w:eastAsia="x-none"/>
        </w:rPr>
        <w:t>RX</w:t>
      </w:r>
      <w:r w:rsidR="00761F6B" w:rsidRPr="005C01D4">
        <w:rPr>
          <w:rFonts w:eastAsia="Times New Roman"/>
          <w:lang w:eastAsia="x-none"/>
        </w:rPr>
        <w:t xml:space="preserve"> 350</w:t>
      </w:r>
      <w:r w:rsidR="00761F6B" w:rsidRPr="0080459D">
        <w:rPr>
          <w:rFonts w:eastAsia="Times New Roman"/>
          <w:lang w:eastAsia="x-none"/>
        </w:rPr>
        <w:t>, Год выпуска: 2</w:t>
      </w:r>
      <w:r w:rsidR="00761F6B" w:rsidRPr="005C01D4">
        <w:rPr>
          <w:rFonts w:eastAsia="Times New Roman"/>
          <w:lang w:eastAsia="x-none"/>
        </w:rPr>
        <w:t>009</w:t>
      </w:r>
      <w:r w:rsidR="00761F6B" w:rsidRPr="0080459D">
        <w:rPr>
          <w:rFonts w:eastAsia="Times New Roman"/>
          <w:lang w:eastAsia="x-none"/>
        </w:rPr>
        <w:t>, Цвет: Черн</w:t>
      </w:r>
      <w:r w:rsidR="00761F6B">
        <w:rPr>
          <w:rFonts w:eastAsia="Times New Roman"/>
          <w:lang w:eastAsia="x-none"/>
        </w:rPr>
        <w:t>о-серый</w:t>
      </w:r>
      <w:r w:rsidR="00761F6B" w:rsidRPr="0080459D">
        <w:rPr>
          <w:rFonts w:eastAsia="Times New Roman"/>
          <w:lang w:eastAsia="x-none"/>
        </w:rPr>
        <w:t xml:space="preserve">, тип ТС: легковой, категория ТС: В, Кузов (кабина, прицеп) № </w:t>
      </w:r>
      <w:r w:rsidR="00761F6B" w:rsidRPr="00F56CB8">
        <w:rPr>
          <w:rFonts w:eastAsia="Times New Roman"/>
          <w:lang w:eastAsia="x-none"/>
        </w:rPr>
        <w:t>JTJBK1BA0A2420830</w:t>
      </w:r>
      <w:r w:rsidR="00761F6B" w:rsidRPr="0080459D">
        <w:rPr>
          <w:rFonts w:eastAsia="Times New Roman"/>
          <w:lang w:eastAsia="x-none"/>
        </w:rPr>
        <w:t xml:space="preserve">, идентификационный номер (VIN): </w:t>
      </w:r>
      <w:r w:rsidR="00761F6B" w:rsidRPr="00F56CB8">
        <w:rPr>
          <w:rFonts w:eastAsia="Times New Roman"/>
          <w:lang w:eastAsia="x-none"/>
        </w:rPr>
        <w:t>JTJBK1BA0A2420830</w:t>
      </w:r>
      <w:r w:rsidR="00761F6B" w:rsidRPr="0080459D">
        <w:rPr>
          <w:rFonts w:eastAsia="Times New Roman"/>
          <w:lang w:eastAsia="x-none"/>
        </w:rPr>
        <w:t>. Шасси (рама) № Отсутствует.</w:t>
      </w:r>
    </w:p>
    <w:p w14:paraId="408E66F6" w14:textId="77777777" w:rsidR="00761F6B" w:rsidRPr="00B47DA2" w:rsidRDefault="00761F6B" w:rsidP="00761F6B">
      <w:pPr>
        <w:ind w:firstLine="709"/>
        <w:jc w:val="both"/>
      </w:pPr>
      <w:r w:rsidRPr="005359EB">
        <w:rPr>
          <w:rFonts w:eastAsia="Times New Roman"/>
          <w:b/>
          <w:bCs/>
          <w:lang w:eastAsia="x-none"/>
        </w:rPr>
        <w:t>Ограничения/обременения</w:t>
      </w:r>
      <w:r w:rsidRPr="005359EB">
        <w:rPr>
          <w:rFonts w:eastAsia="Times New Roman"/>
          <w:lang w:eastAsia="x-none"/>
        </w:rPr>
        <w:t xml:space="preserve">: </w:t>
      </w:r>
      <w:r>
        <w:rPr>
          <w:rFonts w:eastAsia="Times New Roman"/>
          <w:lang w:eastAsia="x-none"/>
        </w:rPr>
        <w:t>не зарегистрировано</w:t>
      </w:r>
    </w:p>
    <w:p w14:paraId="735A8442" w14:textId="3210C20F" w:rsidR="00C704A5" w:rsidRPr="00B47DA2" w:rsidRDefault="00C704A5" w:rsidP="00761F6B">
      <w:pPr>
        <w:ind w:firstLine="709"/>
        <w:jc w:val="both"/>
      </w:pPr>
    </w:p>
    <w:p w14:paraId="7290CB97" w14:textId="2616FD09" w:rsidR="00C704A5" w:rsidRPr="003E3EC0" w:rsidRDefault="00C704A5" w:rsidP="00C704A5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761F6B">
        <w:rPr>
          <w:b/>
          <w:bCs/>
          <w:color w:val="0070C0"/>
        </w:rPr>
        <w:t>2 008 800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761F6B">
        <w:rPr>
          <w:color w:val="000000"/>
        </w:rPr>
        <w:t>Два миллиона восемь тысяч восемьсот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34AD64C3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761F6B">
        <w:rPr>
          <w:b/>
          <w:bCs/>
          <w:color w:val="0070C0"/>
        </w:rPr>
        <w:t>1 205 280</w:t>
      </w:r>
      <w:r w:rsidR="00433E3D">
        <w:rPr>
          <w:b/>
          <w:bCs/>
          <w:lang w:eastAsia="en-US"/>
        </w:rPr>
        <w:t xml:space="preserve"> </w:t>
      </w:r>
      <w:r w:rsidR="00761F6B">
        <w:rPr>
          <w:lang w:eastAsia="en-US"/>
        </w:rPr>
        <w:t>(Один миллион двести пять тысяч двести восемьдесят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44AB5E30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761F6B">
        <w:rPr>
          <w:b/>
          <w:bCs/>
          <w:color w:val="0070C0"/>
          <w:lang w:eastAsia="en-US"/>
        </w:rPr>
        <w:t>100 440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761F6B">
        <w:rPr>
          <w:lang w:eastAsia="en-US"/>
        </w:rPr>
        <w:t>Сто тысяч четыреста сорок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8FB3B65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 xml:space="preserve">5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начала периода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lastRenderedPageBreak/>
              <w:t>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 xml:space="preserve">Дата и время окончания периода приема 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>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C85564" w:rsidRPr="00512048" w14:paraId="2E8881A1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606565" w14:textId="488EDD15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21.11.24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1EA703" w14:textId="2328A043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26.11.24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7F9F755" w14:textId="4C31C4B5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B92382C" w14:textId="36E6F50D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2 008 800,00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19D9D" w14:textId="0B32BCCA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200 880,00 ₽</w:t>
            </w:r>
          </w:p>
        </w:tc>
      </w:tr>
      <w:tr w:rsidR="00C85564" w:rsidRPr="00512048" w14:paraId="78F68C4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1BF0D" w14:textId="5F2A12DC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26.11.24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6B2D18" w14:textId="7D9174B9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01.12.24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AD9D41" w14:textId="0A4CD5DC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100 440,00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1768E8B" w14:textId="7E728229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1 908 360,00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75E3A" w14:textId="17DDF9D6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190 836,00 ₽</w:t>
            </w:r>
          </w:p>
        </w:tc>
      </w:tr>
      <w:tr w:rsidR="00C85564" w:rsidRPr="00512048" w14:paraId="6CB26AD6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700B8F" w14:textId="04EAE590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01.12.24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78345B" w14:textId="2F5A128C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06.12.24 0:00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C7D64DE" w14:textId="1647F213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100 440,00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193825F" w14:textId="69541189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1 807 920,00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D5BAB" w14:textId="62322F0D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180 792,00 ₽</w:t>
            </w:r>
          </w:p>
        </w:tc>
      </w:tr>
      <w:tr w:rsidR="00C85564" w:rsidRPr="00512048" w14:paraId="41C28A2D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98B08" w14:textId="5B31AE79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06.12.24 0:00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176BFA" w14:textId="27F552FB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11.12.24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9626E5" w14:textId="24234124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100 440,00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45EE732" w14:textId="070C6D75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1 707 480,00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8585B" w14:textId="7C359B51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170 748,00 ₽</w:t>
            </w:r>
          </w:p>
        </w:tc>
      </w:tr>
      <w:tr w:rsidR="00C85564" w:rsidRPr="00512048" w14:paraId="6DB4C17A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F3BC892" w14:textId="69C29868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11.12.24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38A7C48" w14:textId="4CEB02C8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16.12.24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2CE9792" w14:textId="383D5148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100 440,00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A998579" w14:textId="5240090C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1 607 040,00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A226BC" w14:textId="2FC2C082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160 704,00 ₽</w:t>
            </w:r>
          </w:p>
        </w:tc>
      </w:tr>
      <w:tr w:rsidR="00C85564" w:rsidRPr="00512048" w14:paraId="6E668CB8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9E55DB0" w14:textId="48F58BC8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16.12.24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F4814C2" w14:textId="18B698A9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21.12.24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1B513EEE" w14:textId="3963CF19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100 440,00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16E7EBE2" w14:textId="18B29A7E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1 506 600,00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50F226" w14:textId="4E29D66F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150 660,00 ₽</w:t>
            </w:r>
          </w:p>
        </w:tc>
      </w:tr>
      <w:tr w:rsidR="00C85564" w:rsidRPr="00512048" w14:paraId="4C6DC4C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7240F52" w14:textId="43E24E15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21.12.24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6D6CBC64" w14:textId="6058C1EC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26.12.24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7F842EFA" w14:textId="50CF081F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100 440,00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D0B2755" w14:textId="50197B52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1 406 160,00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09AC0" w14:textId="25EA8BF1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140 616,00 ₽</w:t>
            </w:r>
          </w:p>
        </w:tc>
      </w:tr>
      <w:tr w:rsidR="00C85564" w:rsidRPr="00512048" w14:paraId="12F34BDE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16D1F60" w14:textId="5E1FE801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26.12.24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2597274" w14:textId="6EEB4D78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31.12.24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5C88980B" w14:textId="4BD4BB12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100 440,00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7F3DB7E8" w14:textId="59F2BD2E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1 305 720,00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C53E48" w14:textId="3798BE49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130 572,00 ₽</w:t>
            </w:r>
          </w:p>
        </w:tc>
      </w:tr>
      <w:tr w:rsidR="00C85564" w:rsidRPr="00512048" w14:paraId="01D3CE9F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3635DADF" w14:textId="23F778BF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31.12.24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B1A61B8" w14:textId="197D75B2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05.01.25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E23BF56" w14:textId="3E1A7868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100 440,00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4C702ADF" w14:textId="018439C0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1 205 280,00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2984AF" w14:textId="756A0B1B" w:rsidR="00C85564" w:rsidRPr="00C85564" w:rsidRDefault="00C85564" w:rsidP="00C85564">
            <w:pPr>
              <w:jc w:val="center"/>
            </w:pPr>
            <w:r w:rsidRPr="00C85564">
              <w:rPr>
                <w:rFonts w:ascii="Calibri" w:hAnsi="Calibri" w:cs="Calibri"/>
                <w:color w:val="000000"/>
              </w:rPr>
              <w:t>120 528,00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1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6ACD1230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</w:t>
      </w:r>
      <w:r>
        <w:rPr>
          <w:b/>
          <w:bCs/>
        </w:rPr>
        <w:lastRenderedPageBreak/>
        <w:t>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2333405A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r w:rsidR="00667566" w:rsidRPr="00667566">
        <w:t>(</w:t>
      </w:r>
      <w:hyperlink r:id="rId11" w:history="1">
        <w:r w:rsidR="00667566" w:rsidRPr="00C772A0">
          <w:rPr>
            <w:rStyle w:val="af0"/>
          </w:rPr>
          <w:t>https://catalog.lot-online.ru/images/docs/regulations/reglament_zadatok_bkr.pdf?_t=1658847783</w:t>
        </w:r>
      </w:hyperlink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</w:t>
      </w:r>
      <w:r w:rsidRPr="00BB093C">
        <w:rPr>
          <w:rFonts w:eastAsia="Times New Roman"/>
          <w:b/>
          <w:bCs/>
        </w:rPr>
        <w:lastRenderedPageBreak/>
        <w:t>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C38B68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56C040C6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торгов.</w:t>
      </w:r>
    </w:p>
    <w:p w14:paraId="2881C80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</w:t>
      </w:r>
      <w:r>
        <w:rPr>
          <w:b/>
          <w:bCs/>
        </w:rPr>
        <w:lastRenderedPageBreak/>
        <w:t xml:space="preserve">аукциона, по цене </w:t>
      </w:r>
      <w:r>
        <w:rPr>
          <w:b/>
          <w:bCs/>
          <w:color w:val="000000"/>
        </w:rPr>
        <w:t>предложения этого участника, но не менее начальной цены лота,</w:t>
      </w:r>
      <w:r>
        <w:rPr>
          <w:b/>
          <w:bCs/>
        </w:rPr>
        <w:t xml:space="preserve"> в течение 10 (десяти) дней, с даты признания аукциона несостоявшимся.</w:t>
      </w:r>
    </w:p>
    <w:p w14:paraId="15E3245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22F8" w14:textId="77777777" w:rsidR="0038542B" w:rsidRDefault="0038542B" w:rsidP="008C3E4E">
      <w:r>
        <w:separator/>
      </w:r>
    </w:p>
  </w:endnote>
  <w:endnote w:type="continuationSeparator" w:id="0">
    <w:p w14:paraId="755CF678" w14:textId="77777777" w:rsidR="0038542B" w:rsidRDefault="0038542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D10F" w14:textId="77777777" w:rsidR="0038542B" w:rsidRDefault="0038542B" w:rsidP="008C3E4E">
      <w:r>
        <w:separator/>
      </w:r>
    </w:p>
  </w:footnote>
  <w:footnote w:type="continuationSeparator" w:id="0">
    <w:p w14:paraId="4BDF474B" w14:textId="77777777" w:rsidR="0038542B" w:rsidRDefault="0038542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26807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71EB"/>
    <w:rsid w:val="00637525"/>
    <w:rsid w:val="00643F33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2C71"/>
    <w:rsid w:val="006E3514"/>
    <w:rsid w:val="006F023B"/>
    <w:rsid w:val="006F0406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1F6B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6C80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59D8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5CCB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564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301D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ibirsk@auction-hou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6</Pages>
  <Words>2352</Words>
  <Characters>16415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18730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48</cp:revision>
  <cp:lastPrinted>2017-11-23T14:19:00Z</cp:lastPrinted>
  <dcterms:created xsi:type="dcterms:W3CDTF">2020-12-02T07:22:00Z</dcterms:created>
  <dcterms:modified xsi:type="dcterms:W3CDTF">2024-11-19T06:07:00Z</dcterms:modified>
</cp:coreProperties>
</file>