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E771D" w14:textId="1406645D" w:rsidR="0097610E" w:rsidRPr="00FC43E3" w:rsidRDefault="00760621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342B18"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@auction-house.ru), действующее на основании договора с Публичным акционерным обществом Коммерческий банк «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Смолевич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» (Банк «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Смолевич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» (ПАО), адрес регистрации: 216500, Смоленская обл., г. Рославль, ул. Пролетарская, д. 47, ИНН 6725008696, ОГРН 1026700000051), конкурсным управляющим (ликвидатором) которого на основании решения Арбитражного суда Смоленской области от 18 ноября 2015 г. по делу №А62-6642/2015</w:t>
      </w:r>
      <w:r w:rsidR="00384603" w:rsidRPr="007C7C3A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384603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7C7C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845A79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342B1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8363C8" w:rsidRPr="007C7C3A">
        <w:rPr>
          <w:rFonts w:ascii="Times New Roman" w:hAnsi="Times New Roman" w:cs="Times New Roman"/>
          <w:sz w:val="24"/>
          <w:szCs w:val="24"/>
          <w:lang w:eastAsia="ru-RU"/>
        </w:rPr>
        <w:t>02030275922</w:t>
      </w:r>
      <w:r w:rsidR="00845A79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8363C8" w:rsidRPr="007C7C3A">
        <w:rPr>
          <w:rFonts w:ascii="Times New Roman" w:hAnsi="Times New Roman" w:cs="Times New Roman"/>
          <w:sz w:val="24"/>
          <w:szCs w:val="24"/>
          <w:lang w:eastAsia="ru-RU"/>
        </w:rPr>
        <w:t>№148(7838) от 17.08.2024</w:t>
      </w:r>
      <w:r w:rsidR="00342B18">
        <w:rPr>
          <w:rFonts w:ascii="Times New Roman" w:hAnsi="Times New Roman" w:cs="Times New Roman"/>
          <w:sz w:val="24"/>
          <w:szCs w:val="24"/>
          <w:lang w:eastAsia="ru-RU"/>
        </w:rPr>
        <w:t xml:space="preserve">, а именно в сроки проведения 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овторны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торг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ов 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посредством публичного предложения</w:t>
      </w:r>
      <w:r w:rsidR="00FC43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C43E3" w:rsidRPr="00FC43E3">
        <w:rPr>
          <w:rFonts w:ascii="Times New Roman" w:hAnsi="Times New Roman" w:cs="Times New Roman"/>
          <w:sz w:val="24"/>
          <w:szCs w:val="24"/>
          <w:lang w:eastAsia="ru-RU"/>
        </w:rPr>
        <w:t>(далее – Торги</w:t>
      </w:r>
      <w:r w:rsidR="008260AA">
        <w:rPr>
          <w:rFonts w:ascii="Times New Roman" w:hAnsi="Times New Roman" w:cs="Times New Roman"/>
          <w:sz w:val="24"/>
          <w:szCs w:val="24"/>
          <w:lang w:eastAsia="ru-RU"/>
        </w:rPr>
        <w:t>/Торги ППП</w:t>
      </w:r>
      <w:r w:rsidR="00FC43E3" w:rsidRPr="00FC43E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42B18" w:rsidRPr="00FC43E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58A1D51" w14:textId="7B859584" w:rsidR="008260AA" w:rsidRDefault="00FC43E3" w:rsidP="00FC43E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3E3">
        <w:rPr>
          <w:rFonts w:ascii="Times New Roman" w:hAnsi="Times New Roman" w:cs="Times New Roman"/>
          <w:color w:val="000000"/>
          <w:sz w:val="24"/>
          <w:szCs w:val="24"/>
        </w:rPr>
        <w:t>Информацию в сообщении читать в следующей редакции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21C0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 случае, если по итогам Торгов, назначенных на </w:t>
      </w:r>
      <w:r w:rsidRPr="00FC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 сентября 2024 г.,</w:t>
      </w: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Pr="00FC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 ноября 2024 г.</w:t>
      </w: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 на ЭТП будут проведены повторные Торги со снижением начальной цены лота на 10 (Десять) процентов.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B95E2F" w14:textId="51397D56" w:rsidR="00FC43E3" w:rsidRDefault="00FC43E3" w:rsidP="00FC43E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Pr="00FC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повторных Торгах</w:t>
      </w: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 начинается в 00:00 часов по московскому времени </w:t>
      </w:r>
      <w:r w:rsidRPr="00FC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 октября 2024 г.</w:t>
      </w:r>
    </w:p>
    <w:p w14:paraId="5D0EBA49" w14:textId="73B3E4CC" w:rsidR="008260AA" w:rsidRPr="008260AA" w:rsidRDefault="008260AA" w:rsidP="008260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 xml:space="preserve">Торги ППП будут проведены на ЭТП </w:t>
      </w:r>
      <w:r w:rsidRPr="00826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826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ноября 2024 г.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826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2024 г.</w:t>
      </w:r>
    </w:p>
    <w:p w14:paraId="12E61B7E" w14:textId="47E52796" w:rsidR="00FC43E3" w:rsidRPr="008260AA" w:rsidRDefault="008260AA" w:rsidP="008260AA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Pr="00826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ноября 2024 г.</w:t>
      </w:r>
    </w:p>
    <w:p w14:paraId="0DEAB56E" w14:textId="77777777" w:rsidR="008260AA" w:rsidRPr="008260AA" w:rsidRDefault="008260AA" w:rsidP="008260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Начальная цена продажи лота на Торгах ППП устанавливается равной начальной цене продажи лота на повторных Торгах:</w:t>
      </w:r>
    </w:p>
    <w:p w14:paraId="051B7229" w14:textId="77777777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11 ноября 2024 г. по 15 ноября 2024 г. - в размере начальной цены продажи лота;</w:t>
      </w:r>
    </w:p>
    <w:p w14:paraId="08F74E10" w14:textId="6F81CF9A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16 ноября 2024 г. по 18 ноября 2024 г. - в размере 94,70% от начальной цены продажи лота;</w:t>
      </w:r>
    </w:p>
    <w:p w14:paraId="127A7403" w14:textId="2565D43E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19 ноября 2024 г. по 21 ноября 2024 г. - в размере 89,40% от начальной цены продажи лота;</w:t>
      </w:r>
    </w:p>
    <w:p w14:paraId="7EC15367" w14:textId="715CF04F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22 ноября 2024 г. по 24 ноября 2024 г. - в размере 84,10% от начальной цены продажи лота;</w:t>
      </w:r>
    </w:p>
    <w:p w14:paraId="59A99F16" w14:textId="4FED5803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25 ноября 2024 г. по 27 ноября 2024 г. - в размере 78,80% от начальной цены продажи лота;</w:t>
      </w:r>
    </w:p>
    <w:p w14:paraId="5B48F4D2" w14:textId="0B65B2B9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28 ноября 2024 г. по 30 ноября 2024 г. - в размере 73,50% от начальной цены продажи лота;</w:t>
      </w:r>
    </w:p>
    <w:p w14:paraId="18E4F05C" w14:textId="4EEA4031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01 декабря 2024 г. по 03 декабря 2024 г. - в размере 68,20% от начальной цены продажи лота;</w:t>
      </w:r>
    </w:p>
    <w:p w14:paraId="21E5CB9F" w14:textId="1A9F5337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04 декабря 2024 г. по 06 декабря 2024 г. - в размере 62,90% от начальной цены продажи лота;</w:t>
      </w:r>
    </w:p>
    <w:p w14:paraId="07C15035" w14:textId="030FC479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07 декабря 2024 г. по 09 декабря 2024 г. - в размере 57,60% от начальной цены продажи лота;</w:t>
      </w:r>
    </w:p>
    <w:p w14:paraId="1E2EB2A2" w14:textId="4DB95361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10 декабря 2024 г. по 12 декабря 2024 г. - в размере 52,30% от начальной цены продажи лота;</w:t>
      </w:r>
    </w:p>
    <w:p w14:paraId="77909D69" w14:textId="4D60B1B3" w:rsidR="00760621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13 декабря 2024 г. по 15 декабря 2024 г. - в размере 47,00%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0FACF3" w14:textId="4C42BDE0" w:rsidR="00305993" w:rsidRPr="007C7C3A" w:rsidRDefault="00305993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3"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остается без изменений.</w:t>
      </w:r>
    </w:p>
    <w:sectPr w:rsidR="00305993" w:rsidRPr="007C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165B2D"/>
    <w:rsid w:val="001704DA"/>
    <w:rsid w:val="00183683"/>
    <w:rsid w:val="00194CC7"/>
    <w:rsid w:val="001E6389"/>
    <w:rsid w:val="0021235D"/>
    <w:rsid w:val="00260228"/>
    <w:rsid w:val="002A2506"/>
    <w:rsid w:val="002E4206"/>
    <w:rsid w:val="00305993"/>
    <w:rsid w:val="00321709"/>
    <w:rsid w:val="00342B18"/>
    <w:rsid w:val="0034510D"/>
    <w:rsid w:val="00384603"/>
    <w:rsid w:val="003D44E3"/>
    <w:rsid w:val="003F4D88"/>
    <w:rsid w:val="00421C09"/>
    <w:rsid w:val="005E0987"/>
    <w:rsid w:val="005E79DA"/>
    <w:rsid w:val="00760621"/>
    <w:rsid w:val="007742ED"/>
    <w:rsid w:val="007A3A1B"/>
    <w:rsid w:val="007B19D5"/>
    <w:rsid w:val="007C7C3A"/>
    <w:rsid w:val="007E67D7"/>
    <w:rsid w:val="008260AA"/>
    <w:rsid w:val="008363C8"/>
    <w:rsid w:val="00845A79"/>
    <w:rsid w:val="008810BE"/>
    <w:rsid w:val="008F69EA"/>
    <w:rsid w:val="00964D49"/>
    <w:rsid w:val="0097610E"/>
    <w:rsid w:val="00983FA9"/>
    <w:rsid w:val="009A7541"/>
    <w:rsid w:val="009C6119"/>
    <w:rsid w:val="00A0415B"/>
    <w:rsid w:val="00A66ED6"/>
    <w:rsid w:val="00AD0413"/>
    <w:rsid w:val="00AE62B1"/>
    <w:rsid w:val="00B43988"/>
    <w:rsid w:val="00B541DD"/>
    <w:rsid w:val="00B77D61"/>
    <w:rsid w:val="00B853F8"/>
    <w:rsid w:val="00BF6692"/>
    <w:rsid w:val="00BF791F"/>
    <w:rsid w:val="00CA3C3B"/>
    <w:rsid w:val="00CD50EC"/>
    <w:rsid w:val="00D120E5"/>
    <w:rsid w:val="00DA69FD"/>
    <w:rsid w:val="00E5762C"/>
    <w:rsid w:val="00E65AE5"/>
    <w:rsid w:val="00F41D96"/>
    <w:rsid w:val="00F633EB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93F22264-6AF5-4E46-8FB6-B7335A48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8260A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2016-10-26T09:10:00Z</cp:lastPrinted>
  <dcterms:created xsi:type="dcterms:W3CDTF">2023-11-17T13:05:00Z</dcterms:created>
  <dcterms:modified xsi:type="dcterms:W3CDTF">2024-09-24T14:15:00Z</dcterms:modified>
</cp:coreProperties>
</file>