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6841A72B" w:rsidR="00CB638E" w:rsidRDefault="00F57F74" w:rsidP="00CB638E">
      <w:pPr>
        <w:spacing w:after="0" w:line="240" w:lineRule="auto"/>
        <w:ind w:firstLine="567"/>
        <w:jc w:val="both"/>
      </w:pPr>
      <w:r w:rsidRPr="00F57F7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57F7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57F7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57F7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57F7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57F74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коммерческим банком «Новация» (публичное акционерное общество) (ПАО АКБ «Новация»), ИНН 0100000050, ОГРН 1020100001899, адрес регистрации: 385011, Республика Адыгея, г. Майкоп, ул. Димитрова, д. 4, корп. 1) (</w:t>
      </w:r>
      <w:proofErr w:type="gramStart"/>
      <w:r w:rsidRPr="00F57F74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 конкурсным управляющим (ликвидатором) которого на основании решения Арбитражного суда Республики Адыгея от 15 марта 2017 г. по делу № А01-235/2017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4A46E16" w14:textId="2439A27F" w:rsidR="00CB638E" w:rsidRPr="00716576" w:rsidRDefault="00716576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– </w:t>
      </w:r>
      <w:proofErr w:type="spellStart"/>
      <w:r w:rsidRPr="00716576">
        <w:t>Машиноместо</w:t>
      </w:r>
      <w:proofErr w:type="spellEnd"/>
      <w:r w:rsidRPr="00716576">
        <w:t xml:space="preserve"> № 43 - 21,7 кв. м, адрес: Республика Адыгея, г. Майкоп, ул. Депутатская, д. 25, пом. 22, этаж (подвал №-1), кадастровый номер 01:08:0513024:929</w:t>
      </w:r>
      <w:r>
        <w:t xml:space="preserve"> – </w:t>
      </w:r>
      <w:r w:rsidRPr="00716576">
        <w:t>350 000</w:t>
      </w:r>
      <w:r>
        <w:t>,00 руб.</w:t>
      </w:r>
      <w:r w:rsidRPr="00716576">
        <w:t>;</w:t>
      </w:r>
    </w:p>
    <w:p w14:paraId="1A82965D" w14:textId="31126134" w:rsidR="00CB638E" w:rsidRDefault="0071657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2 - </w:t>
      </w:r>
      <w:proofErr w:type="spellStart"/>
      <w:r w:rsidRPr="00716576">
        <w:t>Машиноместо</w:t>
      </w:r>
      <w:proofErr w:type="spellEnd"/>
      <w:r w:rsidRPr="00716576">
        <w:t xml:space="preserve"> № 47 - 27,9 кв. м, адрес: Республика Адыгея, г. Майкоп, ул. Депутатская, д. 25, пом. 19, этаж (подвал №-1), кадастровый номер 01:08:0513024:926</w:t>
      </w:r>
      <w:r>
        <w:rPr>
          <w:lang w:val="en-US"/>
        </w:rPr>
        <w:t xml:space="preserve"> – </w:t>
      </w:r>
      <w:r w:rsidRPr="00716576">
        <w:rPr>
          <w:lang w:val="en-US"/>
        </w:rPr>
        <w:t>430</w:t>
      </w:r>
      <w:r>
        <w:t xml:space="preserve"> </w:t>
      </w:r>
      <w:r w:rsidRPr="00716576">
        <w:rPr>
          <w:lang w:val="en-US"/>
        </w:rPr>
        <w:t>000</w:t>
      </w:r>
      <w:r>
        <w:t>,00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6EF586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16576" w:rsidRPr="00716576">
        <w:rPr>
          <w:rFonts w:ascii="Times New Roman CYR" w:hAnsi="Times New Roman CYR" w:cs="Times New Roman CYR"/>
          <w:b/>
          <w:color w:val="000000"/>
        </w:rPr>
        <w:t>09 сентября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612C70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716576" w:rsidRPr="00716576">
        <w:rPr>
          <w:b/>
          <w:color w:val="000000"/>
        </w:rPr>
        <w:t>09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67B22" w:rsidRPr="00A67B22">
        <w:rPr>
          <w:b/>
          <w:color w:val="000000"/>
        </w:rPr>
        <w:t>28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37AD5D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67B22" w:rsidRPr="00A67B22">
        <w:rPr>
          <w:b/>
          <w:color w:val="000000"/>
        </w:rPr>
        <w:t>30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67B22" w:rsidRPr="00A67B22">
        <w:rPr>
          <w:b/>
          <w:color w:val="000000"/>
        </w:rPr>
        <w:t>16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4661C3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67B22">
        <w:rPr>
          <w:b/>
          <w:bCs/>
          <w:color w:val="000000"/>
        </w:rPr>
        <w:t>01 ноября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A67B22">
        <w:rPr>
          <w:b/>
          <w:bCs/>
          <w:color w:val="000000"/>
        </w:rPr>
        <w:t>11 декабря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A2CE09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67B22" w:rsidRPr="00A67B22">
        <w:rPr>
          <w:b/>
          <w:color w:val="000000"/>
        </w:rPr>
        <w:t>01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A67B22">
        <w:rPr>
          <w:color w:val="000000"/>
        </w:rPr>
        <w:t xml:space="preserve">прекращается за </w:t>
      </w:r>
      <w:r w:rsidR="00F17038" w:rsidRPr="00A67B22">
        <w:rPr>
          <w:color w:val="000000"/>
        </w:rPr>
        <w:t>1</w:t>
      </w:r>
      <w:r w:rsidRPr="00A67B22">
        <w:rPr>
          <w:color w:val="000000"/>
        </w:rPr>
        <w:t xml:space="preserve"> (</w:t>
      </w:r>
      <w:r w:rsidR="00F17038" w:rsidRPr="00A67B22">
        <w:rPr>
          <w:color w:val="000000"/>
        </w:rPr>
        <w:t>Один</w:t>
      </w:r>
      <w:r w:rsidRPr="00A67B22">
        <w:rPr>
          <w:color w:val="000000"/>
        </w:rPr>
        <w:t>) календарны</w:t>
      </w:r>
      <w:r w:rsidR="00F17038" w:rsidRPr="00A67B22">
        <w:rPr>
          <w:color w:val="000000"/>
        </w:rPr>
        <w:t>й</w:t>
      </w:r>
      <w:r w:rsidRPr="00A67B22">
        <w:rPr>
          <w:color w:val="000000"/>
        </w:rPr>
        <w:t xml:space="preserve"> де</w:t>
      </w:r>
      <w:r w:rsidR="00F17038" w:rsidRPr="00A67B22">
        <w:rPr>
          <w:color w:val="000000"/>
        </w:rPr>
        <w:t>нь</w:t>
      </w:r>
      <w:r w:rsidRPr="00A67B2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19EEC7C" w14:textId="3853CE60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01 ноября 2024 г. по 07 ноября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67B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E33F0A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08 ноября 2024 г. по 14 ноября 2024 г. - в размере 98,20% от начальной цены продажи лотов;</w:t>
      </w:r>
    </w:p>
    <w:p w14:paraId="40F65559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15 ноября 2024 г. по 17 ноября 2024 г. - в размере 96,40% от начальной цены продажи лотов;</w:t>
      </w:r>
    </w:p>
    <w:p w14:paraId="453514C5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18 ноября 2024 г. по 20 ноября 2024 г. - в размере 94,60% от начальной цены продажи лотов;</w:t>
      </w:r>
    </w:p>
    <w:p w14:paraId="206A9073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21 ноября 2024 г. по 23 ноября 2024 г. - в размере 92,80% от начальной цены продажи лотов;</w:t>
      </w:r>
    </w:p>
    <w:p w14:paraId="33345F2C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24 ноября 2024 г. по 26 ноября 2024 г. - в размере 91,00% от начальной цены продажи лотов;</w:t>
      </w:r>
    </w:p>
    <w:p w14:paraId="7B33FB30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27 ноября 2024 г. по 29 ноября 2024 г. - в размере 89,20% от начальной цены продажи лотов;</w:t>
      </w:r>
    </w:p>
    <w:p w14:paraId="14386956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87,40% от начальной цены продажи лотов;</w:t>
      </w:r>
    </w:p>
    <w:p w14:paraId="532DB652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85,60% от начальной цены продажи лотов;</w:t>
      </w:r>
    </w:p>
    <w:p w14:paraId="1BB85CD4" w14:textId="77777777" w:rsidR="00A67B22" w:rsidRPr="00A67B22" w:rsidRDefault="00A67B22" w:rsidP="00A67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83,80% от начальной цены продажи лотов;</w:t>
      </w:r>
    </w:p>
    <w:p w14:paraId="6CE0A093" w14:textId="47A24C3E" w:rsidR="005C5BB0" w:rsidRDefault="00A67B2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 xml:space="preserve">с 09 декабря 2024 г. по 11 декабря 2024 г. - в размере 82,00%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A67B2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A67B22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A67B2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B2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B6DC14B" w14:textId="77777777" w:rsidR="00097526" w:rsidRPr="00A67B2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B2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67B2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B22">
        <w:rPr>
          <w:rFonts w:ascii="Times New Roman" w:hAnsi="Times New Roman" w:cs="Times New Roman"/>
          <w:sz w:val="24"/>
          <w:szCs w:val="24"/>
        </w:rPr>
        <w:lastRenderedPageBreak/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A67B2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B2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A67B2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A67B22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A67B2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67B2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79F1819" w:rsidR="00097526" w:rsidRPr="00A67B2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67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67B22" w:rsidRPr="00A67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09:00 до 18:00 часов по адресу: </w:t>
      </w:r>
      <w:proofErr w:type="gramStart"/>
      <w:r w:rsidR="00A67B22" w:rsidRPr="00A67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Ставропольский край, г. Пятигорск, ул. Козлова, д. 28, тел. 8-800-505-80-32; у ОТ:</w:t>
      </w:r>
      <w:proofErr w:type="gramEnd"/>
      <w:r w:rsidR="00A67B22" w:rsidRPr="00A67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Золотько Зоя, тел. 7967246-44-36, эл. почта: krasnodar@auction-house.ru.</w:t>
      </w:r>
      <w:r w:rsidRPr="00A67B22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B2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bookmarkStart w:id="0" w:name="_GoBack"/>
      <w:bookmarkEnd w:id="0"/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16576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67B22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57F74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2170</Words>
  <Characters>13665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43</cp:revision>
  <dcterms:created xsi:type="dcterms:W3CDTF">2019-07-23T07:47:00Z</dcterms:created>
  <dcterms:modified xsi:type="dcterms:W3CDTF">2024-07-19T11:25:00Z</dcterms:modified>
</cp:coreProperties>
</file>