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Style w:val="TableStyle0"/>
        <w:tblW w:w="10395" w:type="dxa"/>
        <w:jc w:val="left"/>
        <w:tblInd w:w="0" w:type="dxa"/>
        <w:tblLayout w:type="fixed"/>
        <w:tblCellMar>
          <w:top w:w="0" w:type="dxa"/>
          <w:left w:w="108" w:type="dxa"/>
          <w:bottom w:w="0" w:type="dxa"/>
          <w:right w:w="108" w:type="dxa"/>
        </w:tblCellMar>
        <w:tblLook w:val="04a0"/>
      </w:tblPr>
      <w:tblGrid>
        <w:gridCol w:w="944"/>
        <w:gridCol w:w="945"/>
        <w:gridCol w:w="945"/>
        <w:gridCol w:w="945"/>
        <w:gridCol w:w="945"/>
        <w:gridCol w:w="946"/>
        <w:gridCol w:w="945"/>
        <w:gridCol w:w="945"/>
        <w:gridCol w:w="945"/>
        <w:gridCol w:w="945"/>
        <w:gridCol w:w="944"/>
      </w:tblGrid>
      <w:tr>
        <w:trPr>
          <w:trHeight w:val="60" w:hRule="atLeast"/>
        </w:trPr>
        <w:tc>
          <w:tcPr>
            <w:tcW w:w="1039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ДОГОВОР</w:t>
            </w:r>
          </w:p>
        </w:tc>
      </w:tr>
      <w:tr>
        <w:trPr>
          <w:trHeight w:val="265" w:hRule="atLeast"/>
        </w:trPr>
        <w:tc>
          <w:tcPr>
            <w:tcW w:w="1039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купли-продажи</w:t>
            </w:r>
          </w:p>
        </w:tc>
      </w:tr>
      <w:tr>
        <w:trPr>
          <w:trHeight w:val="265" w:hRule="atLeast"/>
        </w:trPr>
        <w:tc>
          <w:tcPr>
            <w:tcW w:w="9450" w:type="dxa"/>
            <w:gridSpan w:val="10"/>
            <w:tcBorders/>
            <w:shd w:color="FFFFFF" w:fill="auto" w:val="clear"/>
          </w:tcPr>
          <w:p>
            <w:pPr>
              <w:pStyle w:val="Normal"/>
              <w:bidi w:val="0"/>
              <w:spacing w:lineRule="auto" w:line="240" w:before="0" w:after="0"/>
              <w:jc w:val="both"/>
              <w:rPr>
                <w:rFonts w:ascii="Times New Roman" w:hAnsi="Times New Roman"/>
                <w:sz w:val="20"/>
                <w:szCs w:val="20"/>
              </w:rPr>
            </w:pPr>
            <w:r>
              <w:rPr>
                <w:rFonts w:ascii="Arial" w:hAnsi="Arial"/>
                <w:kern w:val="0"/>
                <w:sz w:val="16"/>
                <w:szCs w:val="20"/>
              </w:rPr>
            </w:r>
          </w:p>
        </w:tc>
        <w:tc>
          <w:tcPr>
            <w:tcW w:w="944" w:type="dxa"/>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Arial" w:hAnsi="Arial"/>
                <w:kern w:val="0"/>
                <w:sz w:val="16"/>
                <w:szCs w:val="20"/>
              </w:rPr>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Мы, нижеподписавшиеся:</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Гражданин РФ Минибаева Гелчиря Габделяхатовна (Афлятунова Гелчиря Габделяхатовна) (28.05.1975г.р., место рожд: сел. Новое Узеево Аксубаевского района ТАССР, адрес рег: 423040, Татарстан Респ, Нурлатский р-н, Нурлат г, Ленинградская ул, дом № 17, квартира 21, СНИЛС07028539357, ИНН 163200201230, паспорт РФ серия 9220, номер 772008, выдан 10.07.2020, кем выдан МВД по Республике Татарстан , код подразделения 160-024), в лице Гражданина РФ Финансового управляющего Мякишковой Юлии Николаевны (ИНН 425200647158, СНИЛС 18918836033, рег.номер 22153), действующего на основании решения Арбитражного суда Республики Татарстан от 14.08.2023г. по делу №А65-17428/2023, именуемый в дальнейшем «Продавец», с одной стороны, и</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1. Предмет договора</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1.1.  В соответствии с проведенными торгами на сайте https://bankrot.fedresurs.ru сообщение о проведении торгов №           от          г. (путем прямых предложений) по продаже имущества  Минибаевой Гелчири Габделяхатовны, а также по настоящему договору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ДАЦУН , модель: ON-DO, VIN: Z8NBAABD0E0002985, год изготовления: 2014 (далее - Имущество).</w:t>
            </w:r>
          </w:p>
        </w:tc>
      </w:tr>
      <w:tr>
        <w:trPr>
          <w:trHeight w:val="60" w:hRule="atLeast"/>
        </w:trPr>
        <w:tc>
          <w:tcPr>
            <w:tcW w:w="10394" w:type="dxa"/>
            <w:gridSpan w:val="11"/>
            <w:tcBorders/>
            <w:shd w:color="FFFFFF" w:fill="FFFFFF"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1.2. Имущество принадлежит  Продавцу на праве собственности на основании Паспорта транспортного средства , Свидетельства о регистрации ТС .</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 xml:space="preserve">1.3. На момент составления Договора купли-продажи на вышеуказанном имуществе обременения/ограничения </w:t>
            </w:r>
            <w:r>
              <w:rPr>
                <w:rFonts w:ascii="Times New Roman" w:hAnsi="Times New Roman"/>
                <w:kern w:val="0"/>
                <w:sz w:val="20"/>
                <w:szCs w:val="20"/>
              </w:rPr>
              <w:t>имеются</w:t>
            </w:r>
            <w:r>
              <w:rPr>
                <w:rFonts w:ascii="Times New Roman" w:hAnsi="Times New Roman"/>
                <w:kern w:val="0"/>
                <w:sz w:val="20"/>
                <w:szCs w:val="20"/>
              </w:rPr>
              <w:t>.</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both"/>
              <w:rPr/>
            </w:pPr>
            <w:r>
              <w:rPr>
                <w:rFonts w:ascii="Times New Roman" w:hAnsi="Times New Roman"/>
                <w:kern w:val="0"/>
                <w:sz w:val="20"/>
                <w:szCs w:val="20"/>
              </w:rPr>
              <w:t xml:space="preserve">1.4. Имущество обеспечено обременением в виде залога в пользу ПАО БАНК "ФК ОТКРЫТИЕ" (ИНН 7706092528, ОГРН </w:t>
            </w:r>
            <w:r>
              <w:rPr>
                <w:rFonts w:ascii="Times New Roman" w:hAnsi="Times New Roman"/>
                <w:sz w:val="20"/>
                <w:szCs w:val="20"/>
              </w:rPr>
              <w:t>1027739019208</w:t>
            </w:r>
            <w:r>
              <w:rPr>
                <w:rFonts w:ascii="Times New Roman" w:hAnsi="Times New Roman"/>
                <w:kern w:val="0"/>
                <w:sz w:val="20"/>
                <w:szCs w:val="20"/>
              </w:rPr>
              <w:t>).</w:t>
            </w:r>
          </w:p>
          <w:p>
            <w:pPr>
              <w:pStyle w:val="Normal"/>
              <w:bidi w:val="0"/>
              <w:spacing w:lineRule="auto" w:line="240" w:before="0" w:after="0"/>
              <w:jc w:val="both"/>
              <w:rPr/>
            </w:pPr>
            <w:r>
              <w:rPr>
                <w:rFonts w:ascii="Times New Roman" w:hAnsi="Times New Roman"/>
                <w:kern w:val="0"/>
                <w:sz w:val="20"/>
                <w:szCs w:val="20"/>
              </w:rPr>
              <w:t>Продажа имущества на торгах приводит к прекращению права залога (ипотеки) - пп. 4 п. 1 ст. 352 ГК РФ и абз. 6 п. 5 ст. 18.1 ФЗ «О несостоятельности (банкротстве)» от 26.10.2002 г. № 127-ФЗ.</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2. Обязанности Сторон</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2.1. Продавец обязуется:</w:t>
            </w:r>
          </w:p>
        </w:tc>
      </w:tr>
      <w:tr>
        <w:trPr>
          <w:trHeight w:val="27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2.1.1. Передать Покупателю имущество по акту приема-передачи.</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2.2. Покупатель обязан:</w:t>
            </w:r>
          </w:p>
        </w:tc>
      </w:tr>
      <w:tr>
        <w:trPr>
          <w:trHeight w:val="280" w:hRule="atLeast"/>
        </w:trPr>
        <w:tc>
          <w:tcPr>
            <w:tcW w:w="10394" w:type="dxa"/>
            <w:gridSpan w:val="11"/>
            <w:tcBorders/>
            <w:shd w:color="FFFFFF" w:fill="auto" w:val="clear"/>
            <w:vAlign w:val="bottom"/>
          </w:tcPr>
          <w:p>
            <w:pPr>
              <w:pStyle w:val="Normal"/>
              <w:bidi w:val="0"/>
              <w:spacing w:lineRule="auto" w:line="240" w:before="0" w:after="0"/>
              <w:jc w:val="left"/>
              <w:rPr>
                <w:rFonts w:ascii="Arial" w:hAnsi="Arial"/>
                <w:kern w:val="0"/>
                <w:sz w:val="16"/>
                <w:szCs w:val="20"/>
              </w:rPr>
            </w:pPr>
            <w:r>
              <w:rPr>
                <w:rFonts w:ascii="Times New Roman" w:hAnsi="Times New Roman"/>
                <w:kern w:val="0"/>
                <w:sz w:val="20"/>
                <w:szCs w:val="20"/>
              </w:rPr>
              <w:t>2.2.1. Оплатить полную стоимость имущества в соответствии с настоящим договором.</w:t>
            </w:r>
          </w:p>
        </w:tc>
      </w:tr>
      <w:tr>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c>
          <w:tcPr>
            <w:tcW w:w="1039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3. Цена и порядок расчетов</w:t>
            </w:r>
          </w:p>
        </w:tc>
      </w:tr>
      <w:tr>
        <w:trPr/>
        <w:tc>
          <w:tcPr>
            <w:tcW w:w="10394" w:type="dxa"/>
            <w:gridSpan w:val="11"/>
            <w:tcBorders/>
            <w:shd w:color="FFFFFF" w:fill="auto" w:val="clear"/>
            <w:vAlign w:val="bottom"/>
          </w:tcPr>
          <w:p>
            <w:pPr>
              <w:pStyle w:val="Normal"/>
              <w:bidi w:val="0"/>
              <w:spacing w:lineRule="auto" w:line="240" w:before="0" w:after="0"/>
              <w:jc w:val="left"/>
              <w:rPr>
                <w:rFonts w:ascii="Arial" w:hAnsi="Arial"/>
                <w:kern w:val="0"/>
                <w:sz w:val="16"/>
                <w:szCs w:val="20"/>
              </w:rPr>
            </w:pPr>
            <w:r>
              <w:rPr>
                <w:rFonts w:ascii="Times New Roman" w:hAnsi="Times New Roman"/>
                <w:kern w:val="0"/>
                <w:sz w:val="20"/>
                <w:szCs w:val="20"/>
              </w:rPr>
              <w:t>3.1. Стоимость имущества составляет:</w:t>
              <w:br/>
              <w:t>(Ноль) рублей 00 копеек является окончательной и изменению не подлежит.</w:t>
            </w:r>
          </w:p>
        </w:tc>
      </w:tr>
      <w:tr>
        <w:trPr>
          <w:trHeight w:val="53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3.3. Оплата стоимости Имущества по настоящему договору осуществляется Покупателем безналичным платежом на расчетный счет:</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left"/>
              <w:rPr>
                <w:rFonts w:ascii="Arial" w:hAnsi="Arial"/>
                <w:kern w:val="0"/>
                <w:sz w:val="16"/>
                <w:szCs w:val="20"/>
              </w:rPr>
            </w:pPr>
            <w:r>
              <w:rPr>
                <w:rFonts w:ascii="Times New Roman" w:hAnsi="Times New Roman"/>
                <w:kern w:val="0"/>
                <w:sz w:val="20"/>
                <w:szCs w:val="20"/>
              </w:rPr>
              <w:t>Наименование банка: ФИЛИАЛ "ЦЕНТРАЛЬНЫЙ" ПАО "СОВКОМБАНК"</w:t>
              <w:br/>
              <w:t>ИНН 4401116480</w:t>
              <w:br/>
              <w:t>ОГРН 1144400000425</w:t>
              <w:br/>
              <w:t>БИК 045004763</w:t>
              <w:br/>
              <w:t>КПП 440101001</w:t>
              <w:br/>
              <w:t>к/сч 30101810150040000763</w:t>
              <w:br/>
              <w:t>счет Минибаевой Гелчири Габделяхатовны 40817810550171088552</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left"/>
              <w:rPr>
                <w:rFonts w:ascii="Arial" w:hAnsi="Arial"/>
                <w:kern w:val="0"/>
                <w:sz w:val="16"/>
                <w:szCs w:val="20"/>
              </w:rPr>
            </w:pPr>
            <w:r>
              <w:rPr>
                <w:rFonts w:ascii="Times New Roman" w:hAnsi="Times New Roman"/>
                <w:kern w:val="0"/>
                <w:sz w:val="20"/>
                <w:szCs w:val="20"/>
              </w:rPr>
              <w:t>в течение тридцати дней с даты подписания настоящего договора.</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4. Передача имущества и переход риска случайной гибели имущества</w:t>
            </w:r>
          </w:p>
        </w:tc>
      </w:tr>
      <w:tr>
        <w:trPr>
          <w:trHeight w:val="935"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5"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85"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90" w:hRule="atLeast"/>
        </w:trPr>
        <w:tc>
          <w:tcPr>
            <w:tcW w:w="1039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5. Возникновение права собственности</w:t>
            </w:r>
          </w:p>
        </w:tc>
      </w:tr>
      <w:tr>
        <w:trPr>
          <w:trHeight w:val="101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5.1. Право собственности Имуществом возникает у Покупателя с момента подписания акта приема-передачи Имущества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90" w:hRule="atLeast"/>
        </w:trPr>
        <w:tc>
          <w:tcPr>
            <w:tcW w:w="1039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6. Ответственность Сторон</w:t>
            </w:r>
          </w:p>
        </w:tc>
      </w:tr>
      <w:tr>
        <w:trPr>
          <w:trHeight w:val="515"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3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90" w:hRule="atLeast"/>
        </w:trPr>
        <w:tc>
          <w:tcPr>
            <w:tcW w:w="1039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7. Порядок разрешения споров</w:t>
            </w:r>
          </w:p>
        </w:tc>
      </w:tr>
      <w:tr>
        <w:trPr>
          <w:trHeight w:val="54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90" w:hRule="atLeast"/>
        </w:trPr>
        <w:tc>
          <w:tcPr>
            <w:tcW w:w="1039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8. Условия изменения и расторжения договора</w:t>
            </w:r>
          </w:p>
        </w:tc>
      </w:tr>
      <w:tr>
        <w:trPr>
          <w:trHeight w:val="59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8.1. Расторжение настоящего договора осуществляется в порядке, предусмотренном законодательством Российской Федерации.</w:t>
            </w:r>
          </w:p>
        </w:tc>
      </w:tr>
      <w:tr>
        <w:trPr>
          <w:trHeight w:val="695" w:hRule="atLeast"/>
        </w:trPr>
        <w:tc>
          <w:tcPr>
            <w:tcW w:w="10394"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r>
          </w:p>
        </w:tc>
      </w:tr>
      <w:tr>
        <w:trPr>
          <w:trHeight w:val="1670" w:hRule="atLeast"/>
        </w:trPr>
        <w:tc>
          <w:tcPr>
            <w:tcW w:w="10394"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br/>
            </w:r>
          </w:p>
        </w:tc>
      </w:tr>
      <w:tr>
        <w:trPr>
          <w:trHeight w:val="290" w:hRule="atLeast"/>
        </w:trPr>
        <w:tc>
          <w:tcPr>
            <w:tcW w:w="1039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9. Заключительные положения</w:t>
            </w:r>
          </w:p>
        </w:tc>
      </w:tr>
      <w:tr>
        <w:trPr>
          <w:trHeight w:val="59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9.2. Сторонами договора рассмотрены все документы, подготовленные в связи с продажей имущества.</w:t>
            </w:r>
          </w:p>
        </w:tc>
      </w:tr>
      <w:tr>
        <w:trPr>
          <w:trHeight w:val="265"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9.3. Настоящий Договор составлен в 2-х экземплярах, имеющих одинаковую юридическую силу.</w:t>
            </w:r>
          </w:p>
        </w:tc>
      </w:tr>
      <w:tr>
        <w:trPr>
          <w:trHeight w:val="985"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90" w:hRule="atLeast"/>
        </w:trPr>
        <w:tc>
          <w:tcPr>
            <w:tcW w:w="1039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10. Реквизиты и подписи Сторон</w:t>
            </w:r>
          </w:p>
        </w:tc>
      </w:tr>
      <w:tr>
        <w:trPr>
          <w:trHeight w:val="290" w:hRule="atLeast"/>
        </w:trPr>
        <w:tc>
          <w:tcPr>
            <w:tcW w:w="4724" w:type="dxa"/>
            <w:gridSpan w:val="5"/>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Продавец:</w:t>
            </w:r>
          </w:p>
        </w:tc>
        <w:tc>
          <w:tcPr>
            <w:tcW w:w="5670" w:type="dxa"/>
            <w:gridSpan w:val="6"/>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Покупатель:</w:t>
            </w:r>
          </w:p>
        </w:tc>
      </w:tr>
      <w:tr>
        <w:trPr>
          <w:trHeight w:val="290" w:hRule="atLeast"/>
        </w:trPr>
        <w:tc>
          <w:tcPr>
            <w:tcW w:w="4724" w:type="dxa"/>
            <w:gridSpan w:val="5"/>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Гражданин РФ</w:t>
            </w:r>
          </w:p>
        </w:tc>
        <w:tc>
          <w:tcPr>
            <w:tcW w:w="5670" w:type="dxa"/>
            <w:gridSpan w:val="6"/>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Гражданин РФ</w:t>
            </w:r>
          </w:p>
        </w:tc>
      </w:tr>
      <w:tr>
        <w:trPr/>
        <w:tc>
          <w:tcPr>
            <w:tcW w:w="4724" w:type="dxa"/>
            <w:gridSpan w:val="5"/>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b/>
                <w:kern w:val="0"/>
                <w:sz w:val="20"/>
                <w:szCs w:val="20"/>
              </w:rPr>
              <w:t>Минибаева Гелчиря Габделяхатовна (Афлятунова Гелчиря Габделяхатовна) (28.05.1975г.р., место рожд: сел. Новое Узеево Аксубаевского района ТАССР, адрес рег: 423040, Татарстан Респ, Нурлатский р-н, Нурлат г, Ленинградская ул, дом № 17, квартира 21, СНИЛС07028539357, ИНН 163200201230, паспорт РФ серия 9220, номер 772008, выдан 10.07.2020, кем выдан МВД по Республике Татарстан , код подразделения 160-024)</w:t>
            </w:r>
          </w:p>
        </w:tc>
        <w:tc>
          <w:tcPr>
            <w:tcW w:w="5670" w:type="dxa"/>
            <w:gridSpan w:val="6"/>
            <w:vMerge w:val="restart"/>
            <w:tcBorders/>
            <w:shd w:color="FFFFFF" w:fill="auto" w:val="clear"/>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Наименование банка: ФИЛИАЛ "ЦЕНТРАЛЬНЫЙ" ПАО "СОВКОМБАНК"</w:t>
              <w:br/>
              <w:t>ИНН 4401116480</w:t>
              <w:br/>
              <w:t>ОГРН 1144400000425</w:t>
              <w:br/>
              <w:t>БИК 045004763</w:t>
              <w:br/>
              <w:t>КПП 440101001</w:t>
              <w:br/>
              <w:t>к/сч 30101810150040000763</w:t>
              <w:br/>
              <w:t>счет Минибаевой Гелчири Габделяхатовны 40817810550171088552</w:t>
            </w:r>
          </w:p>
        </w:tc>
        <w:tc>
          <w:tcPr>
            <w:tcW w:w="5670" w:type="dxa"/>
            <w:gridSpan w:val="6"/>
            <w:vMerge w:val="continue"/>
            <w:tcBorders/>
            <w:shd w:color="FFFFFF" w:fill="auto" w:val="clear"/>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944"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5670" w:type="dxa"/>
            <w:gridSpan w:val="6"/>
            <w:vMerge w:val="continue"/>
            <w:tcBorders/>
            <w:shd w:color="FFFFFF" w:fill="auto" w:val="clear"/>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b/>
                <w:kern w:val="0"/>
                <w:sz w:val="20"/>
                <w:szCs w:val="20"/>
              </w:rPr>
              <w:t>Финансовый управляющий</w:t>
            </w:r>
          </w:p>
        </w:tc>
        <w:tc>
          <w:tcPr>
            <w:tcW w:w="5670" w:type="dxa"/>
            <w:gridSpan w:val="6"/>
            <w:vMerge w:val="continue"/>
            <w:tcBorders/>
            <w:shd w:color="FFFFFF" w:fill="auto" w:val="clear"/>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b/>
                <w:kern w:val="0"/>
                <w:sz w:val="20"/>
                <w:szCs w:val="20"/>
              </w:rPr>
              <w:t>Минибаевой Гелчири Габделяхатовны</w:t>
            </w:r>
          </w:p>
        </w:tc>
        <w:tc>
          <w:tcPr>
            <w:tcW w:w="946"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tcPr>
          <w:p>
            <w:pPr>
              <w:pStyle w:val="Normal"/>
              <w:bidi w:val="0"/>
              <w:spacing w:lineRule="auto" w:line="240" w:before="0" w:after="0"/>
              <w:jc w:val="right"/>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4"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b/>
                <w:kern w:val="0"/>
                <w:sz w:val="20"/>
                <w:szCs w:val="20"/>
              </w:rPr>
              <w:t>Мякишкова Юлия Николаевна</w:t>
            </w:r>
          </w:p>
        </w:tc>
        <w:tc>
          <w:tcPr>
            <w:tcW w:w="2836" w:type="dxa"/>
            <w:gridSpan w:val="3"/>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2834" w:type="dxa"/>
            <w:gridSpan w:val="3"/>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r>
    </w:tbl>
    <w:sectPr>
      <w:type w:val="nextPage"/>
      <w:pgSz w:w="11906" w:h="16838"/>
      <w:pgMar w:left="567" w:right="567" w:gutter="0" w:header="0" w:top="567" w:footer="0" w:bottom="567"/>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Liberation Sans">
    <w:altName w:val="Arial"/>
    <w:charset w:val="cc"/>
    <w:family w:val="swiss"/>
    <w:pitch w:val="variable"/>
  </w:font>
  <w:font w:name="Times New Roman">
    <w:charset w:val="cc"/>
    <w:family w:val="roman"/>
    <w:pitch w:val="variable"/>
  </w:font>
  <w:font w:name="Arial">
    <w:charset w:val="cc"/>
    <w:family w:val="roman"/>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NSimSun" w:cs="Arial"/>
        <w:kern w:val="2"/>
        <w:sz w:val="22"/>
        <w:szCs w:val="24"/>
        <w:lang w:val="ru-RU" w:eastAsia="zh-CN" w:bidi="hi-IN"/>
      </w:rPr>
    </w:rPrDefault>
    <w:pPrDefault>
      <w:pPr>
        <w:suppressAutoHyphens w:val="true"/>
      </w:pPr>
    </w:pPrDefault>
  </w:docDefaults>
  <w:style w:type="paragraph" w:styleId="Normal">
    <w:name w:val="Normal"/>
    <w:qFormat/>
    <w:pPr>
      <w:widowControl w:val="false"/>
      <w:bidi w:val="0"/>
    </w:pPr>
    <w:rPr>
      <w:rFonts w:ascii="Calibri" w:hAnsi="Calibri" w:eastAsia="NSimSun" w:cs="Arial"/>
      <w:color w:val="auto"/>
      <w:kern w:val="2"/>
      <w:sz w:val="22"/>
      <w:szCs w:val="24"/>
      <w:lang w:val="ru-RU" w:eastAsia="zh-CN" w:bidi="hi-IN"/>
    </w:rPr>
  </w:style>
  <w:style w:type="paragraph" w:styleId="Style14">
    <w:name w:val="Заголовок"/>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Style15">
    <w:name w:val="Указатель"/>
    <w:basedOn w:val="Normal"/>
    <w:qFormat/>
    <w:pPr>
      <w:suppressLineNumbers/>
    </w:pPr>
    <w:rPr>
      <w:rFonts w:cs="Arial"/>
    </w:rPr>
  </w:style>
  <w:style w:type="table" w:styleId="TableStyle0">
    <w:name w:val="TableStyle0"/>
    <w:pPr>
      <w:spacing w:after="0" w:line="240" w:lineRule="auto"/>
    </w:pPr>
    <w:rPr>
      <w:sz w:val="16"/>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13</TotalTime>
  <Application>LibreOffice/7.6.4.1$Windows_X86_64 LibreOffice_project/e19e193f88cd6c0525a17fb7a176ed8e6a3e2aa1</Application>
  <AppVersion>15.0000</AppVersion>
  <Pages>3</Pages>
  <Words>1162</Words>
  <Characters>8272</Characters>
  <CharactersWithSpaces>9401</CharactersWithSpaces>
  <Paragraphs>57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dcterms:modified xsi:type="dcterms:W3CDTF">2024-04-03T12:13:14Z</dcterms:modified>
  <cp:revision>2</cp:revision>
  <dc:subject/>
  <dc:title/>
</cp:coreProperties>
</file>