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50F3" w14:textId="77777777" w:rsidR="0023018B" w:rsidRDefault="00C968F7">
      <w:pPr>
        <w:shd w:val="clear" w:color="auto" w:fill="F9F9F9"/>
        <w:jc w:val="center"/>
        <w:rPr>
          <w:rFonts w:asciiTheme="minorHAnsi" w:hAnsiTheme="minorHAnsi" w:cstheme="minorHAnsi"/>
          <w:b/>
          <w:color w:val="333333"/>
          <w:sz w:val="32"/>
          <w:szCs w:val="32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sz w:val="32"/>
          <w:szCs w:val="32"/>
          <w:lang w:eastAsia="ru-RU"/>
          <w14:ligatures w14:val="none"/>
        </w:rPr>
        <w:t>База отдыха «Дом рыбака» в Астраханской области</w:t>
      </w:r>
    </w:p>
    <w:p w14:paraId="7CC24248" w14:textId="77777777" w:rsidR="0023018B" w:rsidRDefault="0023018B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4375B35A" w14:textId="77777777" w:rsidR="0023018B" w:rsidRDefault="00C968F7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Адрес:</w:t>
      </w: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 Астраханская обл., Икрянинский р-н, пос. Троицкий, ул. Гагарина, д. 1а</w:t>
      </w:r>
    </w:p>
    <w:p w14:paraId="156E4C74" w14:textId="77777777" w:rsidR="0023018B" w:rsidRDefault="0023018B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4377BFEE" w14:textId="77777777" w:rsidR="0023018B" w:rsidRDefault="00C968F7">
      <w:pPr>
        <w:shd w:val="clear" w:color="auto" w:fill="F9F9F9"/>
        <w:jc w:val="both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Описание</w:t>
      </w:r>
    </w:p>
    <w:p w14:paraId="640AD35E" w14:textId="77777777" w:rsidR="0023018B" w:rsidRDefault="00C968F7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  <w:bookmarkStart w:id="0" w:name="_Hlk168608394"/>
      <w:r>
        <w:rPr>
          <w:rFonts w:asciiTheme="minorHAnsi" w:hAnsiTheme="minorHAnsi" w:cstheme="minorHAnsi"/>
          <w:color w:val="333333"/>
          <w:lang w:eastAsia="ru-RU"/>
          <w14:ligatures w14:val="none"/>
        </w:rPr>
        <w:t>Продаётся имущественный комплекс базы отдыха «Дом рыбака», включающий плавучий пирс, административные и спортивные здания, обслуживающие базу помещения, номерной фонд в формате отдельно стоящих домов, расположенных на собственном земельном участке площадью 2 га на берегу реки Бахтемир, которая является судоходным притоком Волги, в Астраханской области.</w:t>
      </w:r>
    </w:p>
    <w:p w14:paraId="0E5BA90C" w14:textId="77777777" w:rsidR="0023018B" w:rsidRDefault="0023018B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6D70FA69" w14:textId="77777777" w:rsidR="0023018B" w:rsidRDefault="00C968F7">
      <w:pPr>
        <w:shd w:val="clear" w:color="auto" w:fill="F9F9F9"/>
        <w:jc w:val="both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Общая характеристика имущества</w:t>
      </w:r>
    </w:p>
    <w:p w14:paraId="2243922C" w14:textId="77777777" w:rsidR="0023018B" w:rsidRDefault="00C968F7">
      <w:pPr>
        <w:shd w:val="clear" w:color="auto" w:fill="F9F9F9"/>
        <w:jc w:val="both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В структуру сделки входит следующее недвижимое имущество:</w:t>
      </w:r>
    </w:p>
    <w:p w14:paraId="154B5790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- плавучий пирс,</w:t>
      </w:r>
    </w:p>
    <w:p w14:paraId="066ADDEC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дамба (кадастровый номер: </w:t>
      </w:r>
      <w:r>
        <w:t>30:04:150102:476),</w:t>
      </w:r>
    </w:p>
    <w:p w14:paraId="4CD05976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нежилые здания (главный корпус, спортивно-оздоровительный комплекс, кафе, бассейн, теннисный корт и т. д.), </w:t>
      </w:r>
    </w:p>
    <w:p w14:paraId="7004DC94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гараж (общая площадь 225,9 кв. м), </w:t>
      </w:r>
    </w:p>
    <w:p w14:paraId="058F1C5F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- жилой номерной фонд (порядка 2 000 кв. м),</w:t>
      </w:r>
    </w:p>
    <w:p w14:paraId="5E400CB3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объекты инженерной инфраструктуры: </w:t>
      </w:r>
    </w:p>
    <w:p w14:paraId="5A3424F7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трансформаторная подстанция (кадастровый номер: </w:t>
      </w:r>
      <w:r>
        <w:t>30:04:150102:478), электрическая мощность – 300 кВт,</w:t>
      </w:r>
    </w:p>
    <w:p w14:paraId="1D7AEDD3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r>
        <w:t>пешеходная дорога (протяжённость 1 141 м),</w:t>
      </w:r>
    </w:p>
    <w:p w14:paraId="1002862E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r>
        <w:t>водозаборная станция (</w:t>
      </w: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кадастровый номер: </w:t>
      </w:r>
      <w:r>
        <w:t>30:04:150102:316),</w:t>
      </w:r>
    </w:p>
    <w:p w14:paraId="4BE253F9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r>
        <w:t>берегоукрепление (кадастровый номер: 30:04:150102:475),</w:t>
      </w:r>
    </w:p>
    <w:p w14:paraId="44BC5950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proofErr w:type="spellStart"/>
      <w:r>
        <w:t>дизельно</w:t>
      </w:r>
      <w:proofErr w:type="spellEnd"/>
      <w:r>
        <w:t>-генераторная (</w:t>
      </w: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кадастровый номер: </w:t>
      </w:r>
      <w:r>
        <w:t>30:04:150102:389),</w:t>
      </w:r>
    </w:p>
    <w:p w14:paraId="08BB3472" w14:textId="77777777" w:rsidR="0023018B" w:rsidRDefault="00C968F7">
      <w:pPr>
        <w:pStyle w:val="af8"/>
        <w:numPr>
          <w:ilvl w:val="0"/>
          <w:numId w:val="3"/>
        </w:numPr>
        <w:shd w:val="clear" w:color="auto" w:fill="F9F9F9"/>
      </w:pPr>
      <w:r>
        <w:t>воздушная линия электропередачи низкого напряжения (</w:t>
      </w: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кадастровый номер: </w:t>
      </w:r>
      <w:r>
        <w:t>30:04:150102:440),</w:t>
      </w:r>
    </w:p>
    <w:p w14:paraId="10D7BFDA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земельный участок (площадь: 19 389 кв. м; кадастровый номер: </w:t>
      </w:r>
      <w:r>
        <w:t>30:04:150102:137; категория земель: земли населённых пунктов, ВРИ: для эксплуатации базы отдыха)</w:t>
      </w:r>
      <w:r>
        <w:rPr>
          <w:rFonts w:asciiTheme="minorHAnsi" w:hAnsiTheme="minorHAnsi" w:cstheme="minorHAnsi"/>
          <w:color w:val="333333"/>
          <w:lang w:eastAsia="ru-RU"/>
          <w14:ligatures w14:val="none"/>
        </w:rPr>
        <w:t>.</w:t>
      </w:r>
    </w:p>
    <w:p w14:paraId="3FE7B7C8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3782463A" w14:textId="77777777" w:rsidR="0023018B" w:rsidRDefault="00C968F7">
      <w:pPr>
        <w:shd w:val="clear" w:color="auto" w:fill="F9F9F9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База отдыха «Дом рыбака»</w:t>
      </w:r>
    </w:p>
    <w:p w14:paraId="1BCCFF5B" w14:textId="77777777" w:rsidR="0023018B" w:rsidRDefault="00C968F7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  <w:r>
        <w:rPr>
          <w:rFonts w:asciiTheme="minorHAnsi" w:hAnsiTheme="minorHAnsi" w:cstheme="minorHAnsi"/>
          <w:shd w:val="clear" w:color="auto" w:fill="FFFFFF"/>
        </w:rPr>
        <w:t>Астраханская область узкой полосой протянулась по обе стороны от </w:t>
      </w:r>
      <w:hyperlink r:id="rId7" w:tooltip="Волго-Ахтубинская пойма" w:history="1">
        <w:r>
          <w:rPr>
            <w:rStyle w:val="afa"/>
            <w:rFonts w:asciiTheme="minorHAnsi" w:hAnsiTheme="minorHAnsi" w:cstheme="minorHAnsi"/>
            <w:color w:val="auto"/>
            <w:u w:val="none"/>
            <w:shd w:val="clear" w:color="auto" w:fill="FFFFFF"/>
          </w:rPr>
          <w:t>Волго-Ахтубинской поймы</w:t>
        </w:r>
      </w:hyperlink>
      <w:r>
        <w:rPr>
          <w:rFonts w:asciiTheme="minorHAnsi" w:hAnsiTheme="minorHAnsi" w:cstheme="minorHAnsi"/>
          <w:shd w:val="clear" w:color="auto" w:fill="FFFFFF"/>
        </w:rPr>
        <w:t> на расстоянии более 400 км. Заливаемые полыми водами на длительный период пространства дельты Волги служат нерестилищем для важных промысловых рыб — </w:t>
      </w:r>
      <w:hyperlink r:id="rId8" w:tooltip="Русский осётр" w:history="1">
        <w:r>
          <w:rPr>
            <w:rStyle w:val="afa"/>
            <w:rFonts w:asciiTheme="minorHAnsi" w:hAnsiTheme="minorHAnsi" w:cstheme="minorHAnsi"/>
            <w:color w:val="auto"/>
            <w:u w:val="none"/>
            <w:shd w:val="clear" w:color="auto" w:fill="FFFFFF"/>
          </w:rPr>
          <w:t>русского осетра</w:t>
        </w:r>
      </w:hyperlink>
      <w:r>
        <w:rPr>
          <w:rFonts w:asciiTheme="minorHAnsi" w:hAnsiTheme="minorHAnsi" w:cstheme="minorHAnsi"/>
          <w:shd w:val="clear" w:color="auto" w:fill="FFFFFF"/>
        </w:rPr>
        <w:t>, </w:t>
      </w:r>
      <w:hyperlink r:id="rId9" w:tooltip="Севрюга" w:history="1">
        <w:r>
          <w:rPr>
            <w:rStyle w:val="afa"/>
            <w:rFonts w:asciiTheme="minorHAnsi" w:hAnsiTheme="minorHAnsi" w:cstheme="minorHAnsi"/>
            <w:color w:val="auto"/>
            <w:u w:val="none"/>
            <w:shd w:val="clear" w:color="auto" w:fill="FFFFFF"/>
          </w:rPr>
          <w:t>севрюги</w:t>
        </w:r>
      </w:hyperlink>
      <w:r>
        <w:rPr>
          <w:rFonts w:asciiTheme="minorHAnsi" w:hAnsiTheme="minorHAnsi" w:cstheme="minorHAnsi"/>
          <w:shd w:val="clear" w:color="auto" w:fill="FFFFFF"/>
        </w:rPr>
        <w:t>, </w:t>
      </w:r>
      <w:hyperlink r:id="rId10" w:tooltip="Белуга" w:history="1">
        <w:r>
          <w:rPr>
            <w:rStyle w:val="afa"/>
            <w:rFonts w:asciiTheme="minorHAnsi" w:hAnsiTheme="minorHAnsi" w:cstheme="minorHAnsi"/>
            <w:color w:val="auto"/>
            <w:u w:val="none"/>
            <w:shd w:val="clear" w:color="auto" w:fill="FFFFFF"/>
          </w:rPr>
          <w:t>белуги</w:t>
        </w:r>
      </w:hyperlink>
      <w:r>
        <w:rPr>
          <w:rFonts w:asciiTheme="minorHAnsi" w:hAnsiTheme="minorHAnsi" w:cstheme="minorHAnsi"/>
          <w:shd w:val="clear" w:color="auto" w:fill="FFFFFF"/>
        </w:rPr>
        <w:t> и др. Поэтому неудивительно, что Астраханская область – «рыбная мекка» для рыболовов всей России. </w:t>
      </w:r>
    </w:p>
    <w:p w14:paraId="226D0932" w14:textId="77777777" w:rsidR="0023018B" w:rsidRDefault="0023018B">
      <w:pPr>
        <w:pStyle w:val="af8"/>
        <w:shd w:val="clear" w:color="auto" w:fill="F9F9F9"/>
        <w:tabs>
          <w:tab w:val="left" w:pos="0"/>
        </w:tabs>
        <w:ind w:left="0"/>
        <w:rPr>
          <w:rFonts w:asciiTheme="minorHAnsi" w:hAnsiTheme="minorHAnsi" w:cstheme="minorHAnsi"/>
        </w:rPr>
      </w:pPr>
    </w:p>
    <w:p w14:paraId="4C069369" w14:textId="77777777" w:rsidR="0023018B" w:rsidRDefault="00C968F7">
      <w:pPr>
        <w:pStyle w:val="af8"/>
        <w:shd w:val="clear" w:color="auto" w:fill="F9F9F9"/>
        <w:tabs>
          <w:tab w:val="left" w:pos="0"/>
        </w:tabs>
        <w:ind w:left="0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</w:rPr>
        <w:t xml:space="preserve">Туристы со всего мира стремятся посетить достопримечательности Астраханской области – уникальный Астраханский государственный заповедник (дельта Волги), известные на весь мир лотосовые поля под Астраханью, </w:t>
      </w:r>
      <w:r>
        <w:rPr>
          <w:rStyle w:val="afd"/>
          <w:rFonts w:asciiTheme="minorHAnsi" w:hAnsiTheme="minorHAnsi" w:cstheme="minorHAnsi"/>
          <w:b w:val="0"/>
          <w:bCs w:val="0"/>
          <w:color w:val="212121"/>
        </w:rPr>
        <w:t xml:space="preserve">самое большое и самое солёное озеро из известных в мире – </w:t>
      </w:r>
      <w:r>
        <w:rPr>
          <w:rFonts w:asciiTheme="minorHAnsi" w:hAnsiTheme="minorHAnsi" w:cstheme="minorHAnsi"/>
        </w:rPr>
        <w:t>озеро Баскунчак (</w:t>
      </w:r>
      <w:r>
        <w:rPr>
          <w:rStyle w:val="afd"/>
          <w:rFonts w:asciiTheme="minorHAnsi" w:hAnsiTheme="minorHAnsi" w:cstheme="minorHAnsi"/>
          <w:b w:val="0"/>
          <w:bCs w:val="0"/>
          <w:color w:val="212121"/>
        </w:rPr>
        <w:t>Ахтубинский р-н)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212121"/>
        </w:rPr>
        <w:t xml:space="preserve">самую высокую точку Прикаспийской низменности, расположенную на территории </w:t>
      </w:r>
      <w:proofErr w:type="spellStart"/>
      <w:r>
        <w:rPr>
          <w:rFonts w:asciiTheme="minorHAnsi" w:hAnsiTheme="minorHAnsi" w:cstheme="minorHAnsi"/>
          <w:color w:val="212121"/>
        </w:rPr>
        <w:t>Богдинско-Баскунчакского</w:t>
      </w:r>
      <w:proofErr w:type="spellEnd"/>
      <w:r>
        <w:rPr>
          <w:rFonts w:asciiTheme="minorHAnsi" w:hAnsiTheme="minorHAnsi" w:cstheme="minorHAnsi"/>
          <w:color w:val="212121"/>
        </w:rPr>
        <w:t xml:space="preserve"> заповедника – гору Большое Богдо (Ахтубинский р-н)</w:t>
      </w:r>
      <w:r>
        <w:rPr>
          <w:rFonts w:asciiTheme="minorHAnsi" w:hAnsiTheme="minorHAnsi" w:cstheme="minorHAnsi"/>
        </w:rPr>
        <w:t>, Музей истории рыболовства</w:t>
      </w:r>
      <w:r>
        <w:rPr>
          <w:rStyle w:val="afd"/>
          <w:rFonts w:asciiTheme="minorHAnsi" w:hAnsiTheme="minorHAnsi" w:cstheme="minorHAnsi"/>
          <w:b w:val="0"/>
          <w:bCs w:val="0"/>
          <w:color w:val="212121"/>
        </w:rPr>
        <w:t xml:space="preserve">, основанный на базе крупнейшего рыбопромышленного предприятия Волго-Каспийского бассейна — Оранжерейного рыбокомбината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color w:val="212121"/>
        </w:rPr>
        <w:t xml:space="preserve">Икрянинский р-н, с. Оранжереи),  многочисленные </w:t>
      </w:r>
      <w:r>
        <w:rPr>
          <w:rFonts w:asciiTheme="minorHAnsi" w:hAnsiTheme="minorHAnsi" w:cstheme="minorHAnsi"/>
        </w:rPr>
        <w:t>осетровые фермы.</w:t>
      </w:r>
    </w:p>
    <w:p w14:paraId="33521197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6E799DA7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База «Дом рыбака» расположена в Астраханской области, в посёлке Троицкий, на берегу реки Бахтемир, которая является судоходным притоком Волги. Уникальность данной локации — это близость к Каспийскому морю (16 км). Бахтемир славится отличной рыбалкой и очень популярен среди рыбаков. В реке в изобилии обитают </w:t>
      </w:r>
      <w:proofErr w:type="spellStart"/>
      <w:proofErr w:type="gramStart"/>
      <w:r>
        <w:rPr>
          <w:rFonts w:asciiTheme="minorHAnsi" w:hAnsiTheme="minorHAnsi" w:cstheme="minorHAnsi"/>
          <w:color w:val="333333"/>
          <w:lang w:eastAsia="ru-RU"/>
          <w14:ligatures w14:val="none"/>
        </w:rPr>
        <w:t>Осетр,белуга</w:t>
      </w:r>
      <w:proofErr w:type="gramEnd"/>
      <w:r>
        <w:rPr>
          <w:rFonts w:asciiTheme="minorHAnsi" w:hAnsiTheme="minorHAnsi" w:cstheme="minorHAnsi"/>
          <w:color w:val="333333"/>
          <w:lang w:eastAsia="ru-RU"/>
          <w14:ligatures w14:val="none"/>
        </w:rPr>
        <w:t>,севрюга</w:t>
      </w:r>
      <w:proofErr w:type="spellEnd"/>
      <w:r>
        <w:rPr>
          <w:rFonts w:asciiTheme="minorHAnsi" w:hAnsiTheme="minorHAnsi" w:cstheme="minorHAnsi"/>
          <w:color w:val="333333"/>
          <w:lang w:eastAsia="ru-RU"/>
          <w14:ligatures w14:val="none"/>
        </w:rPr>
        <w:t>, щука, судак, сом, линь, вобла, жерех, карась, сазан, чехонь и другие рыбы. В лесах, окружающих базу, ведётся охота на дичь (утка, гусь, куропатка, сазан) и млекопитающих (заяц, енот, куница, лисица, волк, горностай).</w:t>
      </w:r>
    </w:p>
    <w:p w14:paraId="4AA1FAAA" w14:textId="77777777" w:rsidR="0023018B" w:rsidRDefault="0023018B">
      <w:pPr>
        <w:pStyle w:val="af8"/>
        <w:shd w:val="clear" w:color="auto" w:fill="F9F9F9"/>
        <w:tabs>
          <w:tab w:val="left" w:pos="0"/>
        </w:tabs>
        <w:ind w:left="0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431A3448" w14:textId="77777777" w:rsidR="0023018B" w:rsidRDefault="00C968F7">
      <w:pPr>
        <w:shd w:val="clear" w:color="auto" w:fill="F9F9F9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Характеристика территории</w:t>
      </w:r>
    </w:p>
    <w:p w14:paraId="5F5496E8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На территории имеется охраняемая парковка для автомобилей и оборудованный причал для водного транспорта. Место отдыха полностью огорожено забором, асфальтированный подъезд, собственные выходы к реке. Территория благоустроена: оборудован пирс, пляж, проведено освещение территории, высажены фруктовые и декоративные деревья, организован полив. </w:t>
      </w:r>
    </w:p>
    <w:p w14:paraId="4B2E1993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4297E755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Все дома и вспомогательные здания оснащены всем необходимым для проживания гостей. В каждой комнате оборудованы ванная комната и гардеробная. Во всех домах большая кухня с бытовой техникой, мебелью, каминные залы. </w:t>
      </w:r>
    </w:p>
    <w:p w14:paraId="589273EE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u w:val="single"/>
          <w:lang w:eastAsia="ru-RU"/>
          <w14:ligatures w14:val="none"/>
        </w:rPr>
      </w:pPr>
    </w:p>
    <w:p w14:paraId="05765951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u w:val="single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u w:val="single"/>
          <w:lang w:eastAsia="ru-RU"/>
          <w14:ligatures w14:val="none"/>
        </w:rPr>
        <w:t>Номерной фонд рассчитан ориентировочно на 50 человек, делится на 2 типа:</w:t>
      </w:r>
    </w:p>
    <w:p w14:paraId="284D2276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- два 2-этажных дома с улучшенным ремонтом, камином, общей площадью 250 кв. м каждый, вместимостью около 15 человек;</w:t>
      </w:r>
    </w:p>
    <w:p w14:paraId="322FDEE3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- стандартное проживание в одноэтажных домиках, общей площадью 95 кв. м. каждый. </w:t>
      </w:r>
    </w:p>
    <w:p w14:paraId="71867205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Отдыхающим предоставляются номера различного уровня комфорта и количества </w:t>
      </w:r>
      <w:proofErr w:type="gramStart"/>
      <w:r>
        <w:rPr>
          <w:rFonts w:asciiTheme="minorHAnsi" w:hAnsiTheme="minorHAnsi" w:cstheme="minorHAnsi"/>
          <w:color w:val="333333"/>
          <w:lang w:eastAsia="ru-RU"/>
          <w14:ligatures w14:val="none"/>
        </w:rPr>
        <w:t>отдыхающих,  гостевые</w:t>
      </w:r>
      <w:proofErr w:type="gramEnd"/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  дома для большой компании. Есть возможность установки дополнительных строений и сооружений для мероприятий различного уровня. </w:t>
      </w:r>
    </w:p>
    <w:p w14:paraId="4DD11590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693516F1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Из досуговых мероприятий, кроме рыбалки, для любителей большого тенниса на территории имеется теннисный корт, зал для занятий йогой. </w:t>
      </w:r>
    </w:p>
    <w:p w14:paraId="34BE0F64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Также имеются удобный крытый бассейн и биллиардный зал. </w:t>
      </w:r>
    </w:p>
    <w:p w14:paraId="7A61421F" w14:textId="77777777" w:rsidR="0023018B" w:rsidRDefault="00C968F7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Беседки с зоной барбекю дополнят вечера уютом и загородной романтикой.</w:t>
      </w:r>
    </w:p>
    <w:p w14:paraId="00329474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2F75DCEA" w14:textId="77777777" w:rsidR="0023018B" w:rsidRDefault="00C968F7">
      <w:pPr>
        <w:shd w:val="clear" w:color="auto" w:fill="F9F9F9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Местоположение и транспортная доступность</w:t>
      </w:r>
    </w:p>
    <w:p w14:paraId="57A8CE61" w14:textId="77777777" w:rsidR="0023018B" w:rsidRDefault="00C968F7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База отдыха «Дом рыбака» расположена в юго-западной части Астраханской области, на правом берегу реки Бахтемир, в посёлке Троицкий. </w:t>
      </w:r>
      <w:r>
        <w:rPr>
          <w:rFonts w:asciiTheme="minorHAnsi" w:hAnsiTheme="minorHAnsi" w:cstheme="minorHAnsi"/>
          <w:lang w:eastAsia="ru-RU"/>
          <w14:ligatures w14:val="none"/>
        </w:rPr>
        <w:t>Добраться до посёлка легко на машине  – ч</w:t>
      </w:r>
      <w:r>
        <w:rPr>
          <w:rFonts w:asciiTheme="minorHAnsi" w:hAnsiTheme="minorHAnsi" w:cstheme="minorHAnsi"/>
          <w:shd w:val="clear" w:color="auto" w:fill="FFFFFF"/>
        </w:rPr>
        <w:t xml:space="preserve">ерез него проходит автодорога Р-215 Астрахань – </w:t>
      </w:r>
      <w:hyperlink r:id="rId11" w:tooltip="https://ru.wikipedia.org/wiki/%D0%9C%D0%B0%D1%85%D0%B0%D1%87%D0%BA%D0%B0%D0%BB%D0%B0" w:history="1">
        <w:r>
          <w:rPr>
            <w:rStyle w:val="afa"/>
            <w:rFonts w:asciiTheme="minorHAnsi" w:hAnsiTheme="minorHAnsi" w:cstheme="minorHAnsi"/>
            <w:color w:val="auto"/>
            <w:u w:val="none"/>
            <w:shd w:val="clear" w:color="auto" w:fill="FFFFFF"/>
          </w:rPr>
          <w:t>Махачкала</w:t>
        </w:r>
      </w:hyperlink>
      <w:r>
        <w:rPr>
          <w:rFonts w:asciiTheme="minorHAnsi" w:hAnsiTheme="minorHAnsi" w:cstheme="minorHAnsi"/>
          <w:shd w:val="clear" w:color="auto" w:fill="FFFFFF"/>
        </w:rPr>
        <w:t>.</w:t>
      </w:r>
      <w:r>
        <w:rPr>
          <w:rFonts w:asciiTheme="minorHAnsi" w:hAnsiTheme="minorHAnsi" w:cstheme="minorHAnsi"/>
          <w:lang w:eastAsia="ru-RU"/>
          <w14:ligatures w14:val="none"/>
        </w:rPr>
        <w:t xml:space="preserve"> </w:t>
      </w:r>
    </w:p>
    <w:p w14:paraId="02025182" w14:textId="77777777" w:rsidR="0023018B" w:rsidRDefault="00C968F7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  <w:r>
        <w:rPr>
          <w:rFonts w:asciiTheme="minorHAnsi" w:hAnsiTheme="minorHAnsi" w:cstheme="minorHAnsi"/>
          <w:lang w:eastAsia="ru-RU"/>
          <w14:ligatures w14:val="none"/>
        </w:rPr>
        <w:t xml:space="preserve">Расстояние от г. Астрахань до пос. Троицкий – 55 км. Есть автобусное сообщение, автобусы отправляются каждый час-полтора. </w:t>
      </w:r>
    </w:p>
    <w:p w14:paraId="2DFD9BC7" w14:textId="77777777" w:rsidR="0023018B" w:rsidRDefault="00C968F7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  <w:r>
        <w:rPr>
          <w:rFonts w:asciiTheme="minorHAnsi" w:hAnsiTheme="minorHAnsi" w:cstheme="minorHAnsi"/>
          <w:lang w:eastAsia="ru-RU"/>
          <w14:ligatures w14:val="none"/>
        </w:rPr>
        <w:t>Расстояние от базы «Дом рыбака» до посёлка Троицкий – 2 км.</w:t>
      </w:r>
    </w:p>
    <w:p w14:paraId="754DF9EF" w14:textId="77777777" w:rsidR="0023018B" w:rsidRDefault="00C968F7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  <w:r>
        <w:rPr>
          <w:rFonts w:asciiTheme="minorHAnsi" w:hAnsiTheme="minorHAnsi" w:cstheme="minorHAnsi"/>
          <w:lang w:eastAsia="ru-RU"/>
          <w14:ligatures w14:val="none"/>
        </w:rPr>
        <w:t xml:space="preserve">В 10 км районный центр </w:t>
      </w:r>
      <w:proofErr w:type="spellStart"/>
      <w:r>
        <w:rPr>
          <w:rFonts w:asciiTheme="minorHAnsi" w:hAnsiTheme="minorHAnsi" w:cstheme="minorHAnsi"/>
          <w:lang w:eastAsia="ru-RU"/>
          <w14:ligatures w14:val="none"/>
        </w:rPr>
        <w:t>п.Икряное</w:t>
      </w:r>
      <w:proofErr w:type="spellEnd"/>
    </w:p>
    <w:p w14:paraId="4B7A3218" w14:textId="77777777" w:rsidR="0023018B" w:rsidRDefault="0023018B">
      <w:pPr>
        <w:shd w:val="clear" w:color="auto" w:fill="F9F9F9"/>
        <w:rPr>
          <w:rFonts w:asciiTheme="minorHAnsi" w:hAnsiTheme="minorHAnsi" w:cstheme="minorHAnsi"/>
          <w:lang w:eastAsia="ru-RU"/>
          <w14:ligatures w14:val="none"/>
        </w:rPr>
      </w:pPr>
    </w:p>
    <w:p w14:paraId="29E0AEB1" w14:textId="77777777" w:rsidR="0023018B" w:rsidRDefault="00C968F7">
      <w:pPr>
        <w:shd w:val="clear" w:color="auto" w:fill="F9F9F9"/>
        <w:rPr>
          <w:rFonts w:asciiTheme="minorHAnsi" w:hAnsiTheme="minorHAnsi" w:cstheme="minorHAnsi"/>
          <w:b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b/>
          <w:color w:val="333333"/>
          <w:lang w:eastAsia="ru-RU"/>
          <w14:ligatures w14:val="none"/>
        </w:rPr>
        <w:t>Факторы инвестиционной привлекательности</w:t>
      </w:r>
    </w:p>
    <w:p w14:paraId="2B9A8C53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Локация: идеальное место для рыбалки и отдыха! Близость к Каспийскому морю (16 км), река Бахтемир это судоходный приток </w:t>
      </w:r>
      <w:proofErr w:type="spellStart"/>
      <w:proofErr w:type="gramStart"/>
      <w:r>
        <w:rPr>
          <w:rFonts w:asciiTheme="minorHAnsi" w:hAnsiTheme="minorHAnsi" w:cstheme="minorHAnsi"/>
          <w:color w:val="333333"/>
          <w:lang w:eastAsia="ru-RU"/>
          <w14:ligatures w14:val="none"/>
        </w:rPr>
        <w:t>Волги,река</w:t>
      </w:r>
      <w:proofErr w:type="spellEnd"/>
      <w:proofErr w:type="gramEnd"/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 с  рыбой, леса для охоты. </w:t>
      </w:r>
    </w:p>
    <w:p w14:paraId="630625B1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Оборудованная действующая база отдыха со всеми удобствами.</w:t>
      </w:r>
    </w:p>
    <w:p w14:paraId="7DE0D376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Здания в хорошем состоянии, ремонт не требуется.</w:t>
      </w:r>
    </w:p>
    <w:p w14:paraId="351D3FBE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>Хорошая транспортная доступность.</w:t>
      </w:r>
    </w:p>
    <w:p w14:paraId="3E2328D3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  <w:color w:val="333333"/>
          <w:lang w:eastAsia="ru-RU"/>
          <w14:ligatures w14:val="none"/>
        </w:rPr>
        <w:t xml:space="preserve">Конкурентная цена. </w:t>
      </w:r>
      <w:r>
        <w:rPr>
          <w:rFonts w:asciiTheme="minorHAnsi" w:hAnsiTheme="minorHAnsi" w:cstheme="minorHAnsi"/>
        </w:rPr>
        <w:t>Средние показатели стоимости размещения в аналогичных номерах составляют от 5 тыс. руб. в сутки.</w:t>
      </w:r>
    </w:p>
    <w:p w14:paraId="65E20775" w14:textId="77777777" w:rsidR="0023018B" w:rsidRDefault="00C968F7">
      <w:pPr>
        <w:pStyle w:val="af8"/>
        <w:numPr>
          <w:ilvl w:val="0"/>
          <w:numId w:val="1"/>
        </w:num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  <w:r>
        <w:rPr>
          <w:rFonts w:asciiTheme="minorHAnsi" w:hAnsiTheme="minorHAnsi" w:cstheme="minorHAnsi"/>
        </w:rPr>
        <w:t xml:space="preserve">Отличное вложение денежных средств в связи с увеличением внутреннего туризма.     </w:t>
      </w:r>
    </w:p>
    <w:bookmarkEnd w:id="0"/>
    <w:p w14:paraId="2B45076B" w14:textId="77777777" w:rsidR="0023018B" w:rsidRDefault="0023018B">
      <w:pPr>
        <w:shd w:val="clear" w:color="auto" w:fill="F9F9F9"/>
        <w:rPr>
          <w:rFonts w:asciiTheme="minorHAnsi" w:hAnsiTheme="minorHAnsi" w:cstheme="minorHAnsi"/>
          <w:color w:val="333333"/>
          <w:lang w:eastAsia="ru-RU"/>
          <w14:ligatures w14:val="none"/>
        </w:rPr>
      </w:pPr>
    </w:p>
    <w:p w14:paraId="123A6DA3" w14:textId="77777777" w:rsidR="0023018B" w:rsidRDefault="0023018B">
      <w:pPr>
        <w:pStyle w:val="af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00D1BC" w14:textId="419D6BEB" w:rsidR="001F357F" w:rsidRDefault="001F357F">
      <w:pPr>
        <w:rPr>
          <w:rFonts w:asciiTheme="minorHAnsi" w:hAnsiTheme="minorHAnsi" w:cstheme="minorHAnsi"/>
        </w:rPr>
      </w:pPr>
    </w:p>
    <w:sectPr w:rsidR="001F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B070" w14:textId="77777777" w:rsidR="007F08DB" w:rsidRDefault="007F08DB">
      <w:r>
        <w:separator/>
      </w:r>
    </w:p>
  </w:endnote>
  <w:endnote w:type="continuationSeparator" w:id="0">
    <w:p w14:paraId="516F1CEC" w14:textId="77777777" w:rsidR="007F08DB" w:rsidRDefault="007F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197D" w14:textId="77777777" w:rsidR="007F08DB" w:rsidRDefault="007F08DB">
      <w:r>
        <w:separator/>
      </w:r>
    </w:p>
  </w:footnote>
  <w:footnote w:type="continuationSeparator" w:id="0">
    <w:p w14:paraId="006596CF" w14:textId="77777777" w:rsidR="007F08DB" w:rsidRDefault="007F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BC9"/>
    <w:multiLevelType w:val="hybridMultilevel"/>
    <w:tmpl w:val="63E812A0"/>
    <w:lvl w:ilvl="0" w:tplc="DE82D8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FAB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03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A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1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0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82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8D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CC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729D"/>
    <w:multiLevelType w:val="hybridMultilevel"/>
    <w:tmpl w:val="7570BA90"/>
    <w:lvl w:ilvl="0" w:tplc="D7D6A9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AEA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4E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87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2C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0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A3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ED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C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1E40"/>
    <w:multiLevelType w:val="hybridMultilevel"/>
    <w:tmpl w:val="78DE4C28"/>
    <w:lvl w:ilvl="0" w:tplc="F632A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40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41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8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4C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E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0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BCA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55981"/>
    <w:multiLevelType w:val="hybridMultilevel"/>
    <w:tmpl w:val="C9A0A98C"/>
    <w:lvl w:ilvl="0" w:tplc="0A720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862D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641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1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65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E2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F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A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AF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21853">
    <w:abstractNumId w:val="0"/>
  </w:num>
  <w:num w:numId="2" w16cid:durableId="1443384000">
    <w:abstractNumId w:val="3"/>
  </w:num>
  <w:num w:numId="3" w16cid:durableId="863520033">
    <w:abstractNumId w:val="1"/>
  </w:num>
  <w:num w:numId="4" w16cid:durableId="94129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8B"/>
    <w:rsid w:val="00076381"/>
    <w:rsid w:val="001F357F"/>
    <w:rsid w:val="0023018B"/>
    <w:rsid w:val="004F5362"/>
    <w:rsid w:val="00702D17"/>
    <w:rsid w:val="007F08DB"/>
    <w:rsid w:val="00C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61B"/>
  <w15:docId w15:val="{6BD26A2A-D483-4D8A-9C25-047B0F74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  <w14:ligatures w14:val="non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nowrap">
    <w:name w:val="nowrap"/>
    <w:basedOn w:val="a0"/>
  </w:style>
  <w:style w:type="paragraph" w:styleId="afb">
    <w:name w:val="Plain Text"/>
    <w:basedOn w:val="a"/>
    <w:link w:val="afc"/>
    <w:uiPriority w:val="99"/>
    <w:semiHidden/>
    <w:unhideWhenUsed/>
    <w:rPr>
      <w:rFonts w:cstheme="minorBidi"/>
      <w:szCs w:val="21"/>
      <w14:ligatures w14:val="none"/>
    </w:rPr>
  </w:style>
  <w:style w:type="character" w:customStyle="1" w:styleId="afc">
    <w:name w:val="Текст Знак"/>
    <w:basedOn w:val="a0"/>
    <w:link w:val="afb"/>
    <w:uiPriority w:val="99"/>
    <w:semiHidden/>
    <w:rPr>
      <w:rFonts w:ascii="Calibri" w:hAnsi="Calibri"/>
      <w:szCs w:val="21"/>
    </w:rPr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8%D0%B9_%D0%BE%D1%81%D1%9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B%D0%B3%D0%BE-%D0%90%D1%85%D1%82%D1%83%D0%B1%D0%B8%D0%BD%D1%81%D0%BA%D0%B0%D1%8F_%D0%BF%D0%BE%D0%B9%D0%BC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0%D1%85%D0%B0%D1%87%D0%BA%D0%B0%D0%BB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1%D0%B5%D0%BB%D1%83%D0%B3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5%D0%B2%D1%80%D1%8E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Поносова Ольга Николаевна</dc:creator>
  <cp:lastModifiedBy>Гоникберг Полина Эрнестовна</cp:lastModifiedBy>
  <cp:revision>2</cp:revision>
  <dcterms:created xsi:type="dcterms:W3CDTF">2024-06-07T09:04:00Z</dcterms:created>
  <dcterms:modified xsi:type="dcterms:W3CDTF">2024-06-07T09:04:00Z</dcterms:modified>
</cp:coreProperties>
</file>