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E3189" w14:textId="77777777" w:rsidR="00D76880" w:rsidRDefault="00D76880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7CDF1CB3" w14:textId="77777777" w:rsidR="00D76880" w:rsidRDefault="00985B52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165CE741" w14:textId="77777777" w:rsidR="00D76880" w:rsidRDefault="00985B52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05207592" w14:textId="77777777" w:rsidR="00D76880" w:rsidRDefault="00985B52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494B040E" w14:textId="77777777" w:rsidR="00D76880" w:rsidRDefault="00985B52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5DE778C2" w14:textId="77777777" w:rsidR="00D76880" w:rsidRDefault="00985B5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20 августа 2024 </w:t>
      </w:r>
      <w:r>
        <w:rPr>
          <w:rFonts w:cs="Times New Roman"/>
          <w:b/>
        </w:rPr>
        <w:t xml:space="preserve">г. с 10:00 </w:t>
      </w:r>
    </w:p>
    <w:p w14:paraId="141084FE" w14:textId="77777777" w:rsidR="00D76880" w:rsidRDefault="00985B5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58CAC7EF" w14:textId="77777777" w:rsidR="00D76880" w:rsidRDefault="00985B5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6">
        <w:r>
          <w:rPr>
            <w:rFonts w:cs="Times New Roman"/>
            <w:b/>
            <w:color w:val="0000FF"/>
            <w:u w:val="single" w:color="0000FF"/>
          </w:rPr>
          <w:t>www</w:t>
        </w:r>
      </w:hyperlink>
      <w:hyperlink r:id="rId7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8">
        <w:r>
          <w:rPr>
            <w:rFonts w:cs="Times New Roman"/>
            <w:b/>
            <w:color w:val="0000FF"/>
            <w:u w:val="single" w:color="0000FF"/>
          </w:rPr>
          <w:t>lot</w:t>
        </w:r>
      </w:hyperlink>
      <w:hyperlink r:id="rId9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0">
        <w:r>
          <w:rPr>
            <w:rFonts w:cs="Times New Roman"/>
            <w:b/>
            <w:color w:val="0000FF"/>
            <w:u w:val="single" w:color="0000FF"/>
          </w:rPr>
          <w:t>online</w:t>
        </w:r>
      </w:hyperlink>
      <w:hyperlink r:id="rId11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2">
        <w:r>
          <w:rPr>
            <w:rFonts w:cs="Times New Roman"/>
            <w:b/>
            <w:color w:val="0000FF"/>
            <w:u w:val="single" w:color="0000FF"/>
          </w:rPr>
          <w:t>ru</w:t>
        </w:r>
      </w:hyperlink>
      <w:hyperlink r:id="rId13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664F67C" w14:textId="77777777" w:rsidR="00D76880" w:rsidRDefault="00985B52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A50EB02" w14:textId="36F970E9" w:rsidR="00D76880" w:rsidRDefault="00985B52">
      <w:pPr>
        <w:tabs>
          <w:tab w:val="left" w:pos="396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</w:t>
      </w:r>
      <w:r w:rsidR="00AF78B3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:00 «06» июня 2024 г. по «16» августа 2024 г. до 18:00</w:t>
      </w:r>
    </w:p>
    <w:p w14:paraId="2D547E39" w14:textId="77777777" w:rsidR="00D76880" w:rsidRDefault="00985B5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D7B2A06" w14:textId="77777777" w:rsidR="00D76880" w:rsidRDefault="00985B52">
      <w:pPr>
        <w:tabs>
          <w:tab w:val="left" w:pos="10065"/>
        </w:tabs>
        <w:spacing w:after="8"/>
        <w:ind w:left="981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4">
        <w:r>
          <w:rPr>
            <w:rFonts w:cs="Times New Roman"/>
            <w:b/>
            <w:color w:val="0000FF"/>
            <w:u w:val="single" w:color="0000FF"/>
          </w:rPr>
          <w:t>www.lot</w:t>
        </w:r>
      </w:hyperlink>
      <w:hyperlink r:id="rId15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6">
        <w:r>
          <w:rPr>
            <w:rFonts w:cs="Times New Roman"/>
            <w:b/>
            <w:color w:val="0000FF"/>
            <w:u w:val="single" w:color="0000FF"/>
          </w:rPr>
          <w:t>online.ru</w:t>
        </w:r>
      </w:hyperlink>
      <w:hyperlink r:id="rId17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1907EF70" w14:textId="77777777" w:rsidR="00D76880" w:rsidRDefault="00985B5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</w:rPr>
        <w:t xml:space="preserve">   </w:t>
      </w:r>
      <w:r>
        <w:rPr>
          <w:rFonts w:cs="Times New Roman"/>
          <w:b/>
          <w:bCs/>
        </w:rPr>
        <w:t>«</w:t>
      </w:r>
      <w:proofErr w:type="gramEnd"/>
      <w:r>
        <w:rPr>
          <w:rFonts w:cs="Times New Roman"/>
          <w:b/>
          <w:bCs/>
        </w:rPr>
        <w:t xml:space="preserve">16» августа 2024 </w:t>
      </w:r>
      <w:r>
        <w:rPr>
          <w:rFonts w:cs="Times New Roman"/>
          <w:b/>
        </w:rPr>
        <w:t xml:space="preserve">г. 18:00. </w:t>
      </w:r>
    </w:p>
    <w:p w14:paraId="60796B8F" w14:textId="77777777" w:rsidR="00D76880" w:rsidRDefault="00985B52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19» августа 2024 </w:t>
      </w:r>
      <w:r>
        <w:rPr>
          <w:rFonts w:cs="Times New Roman"/>
          <w:b/>
        </w:rPr>
        <w:t xml:space="preserve">г. в 18:00. </w:t>
      </w:r>
    </w:p>
    <w:p w14:paraId="2D203EEB" w14:textId="77777777" w:rsidR="00D76880" w:rsidRDefault="00D76880">
      <w:pPr>
        <w:spacing w:after="18" w:line="259" w:lineRule="auto"/>
        <w:ind w:right="60"/>
        <w:jc w:val="center"/>
        <w:rPr>
          <w:rFonts w:cs="Times New Roman"/>
        </w:rPr>
      </w:pPr>
    </w:p>
    <w:p w14:paraId="491A7B69" w14:textId="77777777" w:rsidR="00D76880" w:rsidRDefault="00985B52">
      <w:pPr>
        <w:spacing w:after="33" w:line="247" w:lineRule="auto"/>
        <w:ind w:left="430" w:right="60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7FD5446" w14:textId="77777777" w:rsidR="00D76880" w:rsidRDefault="00985B52">
      <w:pPr>
        <w:spacing w:after="22" w:line="259" w:lineRule="auto"/>
        <w:ind w:right="60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6C96AED5" w14:textId="77777777" w:rsidR="00D76880" w:rsidRDefault="00985B52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 xml:space="preserve"> (Указанное в настоящем информационном сообщении время – Московское) </w:t>
      </w:r>
    </w:p>
    <w:p w14:paraId="6BBE246D" w14:textId="77777777" w:rsidR="00D76880" w:rsidRDefault="00985B52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8885DF5" w14:textId="77777777" w:rsidR="00D76880" w:rsidRDefault="00D76880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28983A8" w14:textId="64351771" w:rsidR="00D76880" w:rsidRDefault="00985B52">
      <w:pPr>
        <w:ind w:right="60" w:firstLine="298"/>
        <w:rPr>
          <w:rFonts w:cs="Times New Roman"/>
        </w:rPr>
      </w:pPr>
      <w:r>
        <w:rPr>
          <w:rFonts w:cs="Times New Roman"/>
          <w:b/>
        </w:rPr>
        <w:t xml:space="preserve">Объект продажи (Лот): </w:t>
      </w:r>
      <w:r>
        <w:rPr>
          <w:rFonts w:cs="Times New Roman"/>
        </w:rPr>
        <w:tab/>
      </w:r>
    </w:p>
    <w:p w14:paraId="108C7D0E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1:</w:t>
      </w:r>
    </w:p>
    <w:p w14:paraId="78A63E53" w14:textId="77777777" w:rsidR="00D76880" w:rsidRDefault="00985B52">
      <w:pPr>
        <w:ind w:right="-57" w:firstLine="567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="SimSun;宋体" w:cs="Times New Roman"/>
        </w:rPr>
        <w:t>Земельный участок по адресу: Астраханская область, р-н Икрянинский, п. Троицкий, ул. Гагарина, 1 а, кадастровый номер 30:04:150102:137, площадью 19389 +/- 46.47 кв.м., категория земель: Земли населенных пунктов, виды разрешенного использования: Для эксплуатации базы отдыха.</w:t>
      </w:r>
    </w:p>
    <w:p w14:paraId="1CB1F7DB" w14:textId="6F8944FC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 xml:space="preserve">Обременения (ограничения): в соответствии с выпиской из ЕГРН от </w:t>
      </w:r>
      <w:r w:rsidR="00CE4AED">
        <w:rPr>
          <w:rFonts w:eastAsia="SimSun;宋体" w:cs="Times New Roman"/>
        </w:rPr>
        <w:t>05.06</w:t>
      </w:r>
      <w:r>
        <w:rPr>
          <w:rFonts w:eastAsia="SimSun;宋体" w:cs="Times New Roman"/>
        </w:rPr>
        <w:t>.2024.</w:t>
      </w:r>
    </w:p>
    <w:p w14:paraId="727E5037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2:</w:t>
      </w:r>
    </w:p>
    <w:p w14:paraId="72D84F01" w14:textId="77777777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 Икрянинский, п Троицкий, ул Гагарина, д 1а, кадастровый номер</w:t>
      </w:r>
      <w:r>
        <w:rPr>
          <w:rFonts w:eastAsia="SimSun;宋体" w:cs="Times New Roman"/>
          <w:shd w:val="clear" w:color="auto" w:fill="FFFFFF"/>
        </w:rPr>
        <w:t xml:space="preserve">: 30:04:150102:385, </w:t>
      </w:r>
      <w:r>
        <w:rPr>
          <w:rFonts w:eastAsia="SimSun;宋体" w:cs="Times New Roman"/>
        </w:rPr>
        <w:t>площадью 95.3 кв.м., наименование: Гостевой дом, этажность: 1, в том числе подземных 0.</w:t>
      </w:r>
    </w:p>
    <w:p w14:paraId="6F5BD179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307FEF64" w14:textId="77777777" w:rsidR="00D76880" w:rsidRPr="008716CF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3:</w:t>
      </w:r>
    </w:p>
    <w:p w14:paraId="370FA07A" w14:textId="77777777" w:rsidR="00D76880" w:rsidRDefault="00985B52">
      <w:pPr>
        <w:ind w:right="-57" w:firstLine="567"/>
        <w:jc w:val="both"/>
        <w:rPr>
          <w:rFonts w:cs="Times New Roman"/>
        </w:rPr>
      </w:pPr>
      <w:r w:rsidRPr="008716CF">
        <w:rPr>
          <w:rFonts w:eastAsia="SimSun;宋体" w:cs="Times New Roman"/>
        </w:rPr>
        <w:t>Нежилое</w:t>
      </w:r>
      <w:r>
        <w:rPr>
          <w:rFonts w:eastAsia="SimSun;宋体" w:cs="Times New Roman"/>
        </w:rPr>
        <w:t xml:space="preserve"> здание по адресу: Астраханская область, р-н Икрянинский, п Троицкий, ул Гагарина, д 1а, кадастровый номе</w:t>
      </w:r>
      <w:r>
        <w:rPr>
          <w:rFonts w:eastAsia="SimSun;宋体" w:cs="Times New Roman"/>
          <w:shd w:val="clear" w:color="auto" w:fill="FFFFFF"/>
        </w:rPr>
        <w:t>р: 30:04:150102:315, пл</w:t>
      </w:r>
      <w:r>
        <w:rPr>
          <w:rFonts w:eastAsia="SimSun;宋体" w:cs="Times New Roman"/>
        </w:rPr>
        <w:t>ощадью 242.8 кв.м., наименование: Гостевой дом, этажность: 2, в том числе подземных 0.</w:t>
      </w:r>
    </w:p>
    <w:p w14:paraId="6D8C374B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37322352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4:</w:t>
      </w:r>
    </w:p>
    <w:p w14:paraId="1981C9FF" w14:textId="6F69C525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 xml:space="preserve">Сооружение по адресу: Астраханская область, Икрянинский район, п. Троицкий, ул. </w:t>
      </w:r>
      <w:proofErr w:type="gramStart"/>
      <w:r>
        <w:rPr>
          <w:rFonts w:eastAsia="SimSun;宋体" w:cs="Times New Roman"/>
        </w:rPr>
        <w:t>Гагарина ,</w:t>
      </w:r>
      <w:proofErr w:type="gramEnd"/>
      <w:r>
        <w:rPr>
          <w:rFonts w:eastAsia="SimSun;宋体" w:cs="Times New Roman"/>
        </w:rPr>
        <w:t xml:space="preserve"> 1"а", кадастровый номер:</w:t>
      </w:r>
      <w:r>
        <w:rPr>
          <w:rFonts w:eastAsia="SimSun;宋体" w:cs="Times New Roman"/>
          <w:shd w:val="clear" w:color="auto" w:fill="FFFFFF"/>
        </w:rPr>
        <w:t xml:space="preserve"> 30:04:150102:473, п</w:t>
      </w:r>
      <w:r>
        <w:rPr>
          <w:rFonts w:eastAsia="SimSun;宋体" w:cs="Times New Roman"/>
        </w:rPr>
        <w:t>лощадью 1141 кв.м., протяженностью 1141 м., наименование: Пешеходная дорога, назначение: нежилое. Площадь: общая 1141 кв.м. Этажность: 1, этажность: 1, в том числе подземных 0.</w:t>
      </w:r>
    </w:p>
    <w:p w14:paraId="232F00DF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5D413E8E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5:</w:t>
      </w:r>
    </w:p>
    <w:p w14:paraId="2B09BBBB" w14:textId="77777777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 xml:space="preserve">Нежилое здание по адресу: Астраханская область, р-н Икрянинский, п. Троицкий, ул. Гагарина, 1"а", лит. сооружения </w:t>
      </w:r>
      <w:proofErr w:type="gramStart"/>
      <w:r>
        <w:rPr>
          <w:rFonts w:eastAsia="SimSun;宋体" w:cs="Times New Roman"/>
        </w:rPr>
        <w:t>Р ,</w:t>
      </w:r>
      <w:proofErr w:type="gramEnd"/>
      <w:r>
        <w:rPr>
          <w:rFonts w:eastAsia="SimSun;宋体" w:cs="Times New Roman"/>
        </w:rPr>
        <w:t xml:space="preserve"> кадастровый номер:</w:t>
      </w:r>
      <w:r>
        <w:rPr>
          <w:rFonts w:eastAsia="SimSun;宋体" w:cs="Times New Roman"/>
          <w:shd w:val="clear" w:color="auto" w:fill="FFFFFF"/>
        </w:rPr>
        <w:t xml:space="preserve"> 30:04:150102:478,</w:t>
      </w:r>
      <w:r>
        <w:rPr>
          <w:rFonts w:eastAsia="SimSun;宋体" w:cs="Times New Roman"/>
        </w:rPr>
        <w:t xml:space="preserve"> площадью 6.8 кв.м., наименование: трансформаторная подстанция, этажность: 1, в том числе подземных 0.</w:t>
      </w:r>
    </w:p>
    <w:p w14:paraId="2F73CF39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08E192D4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lastRenderedPageBreak/>
        <w:t>Объект 6:</w:t>
      </w:r>
    </w:p>
    <w:p w14:paraId="50CA8FAE" w14:textId="77777777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 xml:space="preserve">Сооружение по адресу: Астраханская область, Икрянинский район, п. Троицкий, ул. Гагарина, 1"а", кадастровый номер: </w:t>
      </w:r>
      <w:r>
        <w:rPr>
          <w:rFonts w:eastAsia="SimSun;宋体" w:cs="Times New Roman"/>
          <w:shd w:val="clear" w:color="auto" w:fill="FFFFFF"/>
        </w:rPr>
        <w:t xml:space="preserve">30:04:150102:476, </w:t>
      </w:r>
      <w:r>
        <w:rPr>
          <w:rFonts w:eastAsia="SimSun;宋体" w:cs="Times New Roman"/>
        </w:rPr>
        <w:t>площадью 16119 кв.м., наименование: Дамба, этажность: 1, в том числе подземных 0.</w:t>
      </w:r>
    </w:p>
    <w:p w14:paraId="05F6D6B0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6996D48F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7:</w:t>
      </w:r>
    </w:p>
    <w:p w14:paraId="5A655BBF" w14:textId="77245CB8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номер</w:t>
      </w:r>
      <w:r>
        <w:rPr>
          <w:rFonts w:eastAsia="SimSun;宋体" w:cs="Times New Roman"/>
          <w:shd w:val="clear" w:color="auto" w:fill="FFFFFF"/>
        </w:rPr>
        <w:t>: 30:04:150102:381,</w:t>
      </w:r>
      <w:r>
        <w:rPr>
          <w:rFonts w:eastAsia="SimSun;宋体" w:cs="Times New Roman"/>
        </w:rPr>
        <w:t xml:space="preserve"> площадью 30.6 кв.м., наименование: Дом Егерей, этажность: 1, в том числе подземных 0.</w:t>
      </w:r>
    </w:p>
    <w:p w14:paraId="7D7D9A81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569D4B30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8:</w:t>
      </w:r>
    </w:p>
    <w:p w14:paraId="6B5A41E2" w14:textId="77777777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 xml:space="preserve">Нежилое здание по адресу: Астраханская область, р-н. Икрянинский, п. Троицкий, ул. Гагарина, д. 1а, кадастровый номер: </w:t>
      </w:r>
      <w:r>
        <w:rPr>
          <w:rFonts w:eastAsia="SimSun;宋体" w:cs="Times New Roman"/>
          <w:shd w:val="clear" w:color="auto" w:fill="FFFFFF"/>
        </w:rPr>
        <w:t>30:04:150102:388</w:t>
      </w:r>
      <w:r>
        <w:rPr>
          <w:rFonts w:eastAsia="SimSun;宋体" w:cs="Times New Roman"/>
        </w:rPr>
        <w:t>, площадью 23.6 кв.м., наименование: КНС, этажность: 1, в том числе подземных 0.</w:t>
      </w:r>
    </w:p>
    <w:p w14:paraId="009E65F4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57B9F604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9:</w:t>
      </w:r>
    </w:p>
    <w:p w14:paraId="141FD006" w14:textId="585A768C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</w:t>
      </w:r>
      <w:r>
        <w:rPr>
          <w:rFonts w:eastAsia="SimSun;宋体" w:cs="Times New Roman"/>
          <w:shd w:val="clear" w:color="auto" w:fill="FFFFFF"/>
        </w:rPr>
        <w:t>р: 30:04:150102:380, площ</w:t>
      </w:r>
      <w:r>
        <w:rPr>
          <w:rFonts w:eastAsia="SimSun;宋体" w:cs="Times New Roman"/>
        </w:rPr>
        <w:t xml:space="preserve">адью 11.9 кв.м., наименование: </w:t>
      </w:r>
      <w:proofErr w:type="gramStart"/>
      <w:r>
        <w:rPr>
          <w:rFonts w:eastAsia="SimSun;宋体" w:cs="Times New Roman"/>
        </w:rPr>
        <w:t>КПП ,</w:t>
      </w:r>
      <w:proofErr w:type="gramEnd"/>
      <w:r>
        <w:rPr>
          <w:rFonts w:eastAsia="SimSun;宋体" w:cs="Times New Roman"/>
        </w:rPr>
        <w:t xml:space="preserve"> этажность: 1, в том числе подземных 0.</w:t>
      </w:r>
    </w:p>
    <w:p w14:paraId="237C2995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6D5403D4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10:</w:t>
      </w:r>
    </w:p>
    <w:p w14:paraId="4B23DFE4" w14:textId="233DAE65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 xml:space="preserve">Нежилое здание по адресу: Астраханская область, р-н. Икрянинский, п. Троицкий, ул. Гагарина, д. 1а, кадастровый номер: </w:t>
      </w:r>
      <w:r>
        <w:rPr>
          <w:rFonts w:eastAsia="SimSun;宋体" w:cs="Times New Roman"/>
          <w:shd w:val="clear" w:color="auto" w:fill="FFFFFF"/>
        </w:rPr>
        <w:t>30:04:150102:444,</w:t>
      </w:r>
      <w:r>
        <w:rPr>
          <w:rFonts w:eastAsia="SimSun;宋体" w:cs="Times New Roman"/>
        </w:rPr>
        <w:t xml:space="preserve"> площадью 95.4 кв.м., наименование: Гостевой дом, этажность: 1, в том числе подземных 0.</w:t>
      </w:r>
    </w:p>
    <w:p w14:paraId="3A50FBAE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4FD4117C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11:</w:t>
      </w:r>
    </w:p>
    <w:p w14:paraId="15AFA2A2" w14:textId="3A7CAAF2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eastAsia="SimSun;宋体" w:cs="Times New Roman"/>
          <w:shd w:val="clear" w:color="auto" w:fill="FFFFFF"/>
        </w:rPr>
        <w:t xml:space="preserve"> 30:04:150102:382</w:t>
      </w:r>
      <w:r>
        <w:rPr>
          <w:rFonts w:eastAsia="SimSun;宋体" w:cs="Times New Roman"/>
        </w:rPr>
        <w:t>, площадью 209.1 кв.м., наименование: Хоз. блок, этажность: 2, в том числе подземных 0.</w:t>
      </w:r>
    </w:p>
    <w:p w14:paraId="0DFED980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04EAC345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12:</w:t>
      </w:r>
    </w:p>
    <w:p w14:paraId="3D51D148" w14:textId="656AC2B6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eastAsia="SimSun;宋体" w:cs="Times New Roman"/>
          <w:shd w:val="clear" w:color="auto" w:fill="FFFFFF"/>
        </w:rPr>
        <w:t xml:space="preserve"> 30:04:150102:316, </w:t>
      </w:r>
      <w:r>
        <w:rPr>
          <w:rFonts w:eastAsia="SimSun;宋体" w:cs="Times New Roman"/>
        </w:rPr>
        <w:t>площадью 15.6 кв.м., наименование: Водозаборная станция, этажность: 1, в том числе подземных 0.</w:t>
      </w:r>
    </w:p>
    <w:p w14:paraId="06D69F3C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72A77FBC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13:</w:t>
      </w:r>
    </w:p>
    <w:p w14:paraId="1EDC3F51" w14:textId="77777777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 xml:space="preserve">Сооружение по адресу: Астраханская область, р-н Икрянинский, п. Троицкий, ул. Гагарина, д. 1а, кадастровый номер: </w:t>
      </w:r>
      <w:r>
        <w:rPr>
          <w:rFonts w:eastAsia="SimSun;宋体" w:cs="Times New Roman"/>
          <w:shd w:val="clear" w:color="auto" w:fill="FFFFFF"/>
        </w:rPr>
        <w:t>30:04:150102:475,</w:t>
      </w:r>
      <w:r>
        <w:rPr>
          <w:rFonts w:eastAsia="SimSun;宋体" w:cs="Times New Roman"/>
        </w:rPr>
        <w:t xml:space="preserve"> площадью 77 кв.м., протяженностью 320 м., наименование: Берегоукрепление, этажность: 1, в том числе подземных 0.</w:t>
      </w:r>
    </w:p>
    <w:p w14:paraId="0275CF2F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7C99FFDC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14:</w:t>
      </w:r>
    </w:p>
    <w:p w14:paraId="3AF98732" w14:textId="4B9656B3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eastAsia="SimSun;宋体" w:cs="Times New Roman"/>
          <w:shd w:val="clear" w:color="auto" w:fill="FFFFFF"/>
        </w:rPr>
        <w:t xml:space="preserve"> 30:04:150102:445, п</w:t>
      </w:r>
      <w:r>
        <w:rPr>
          <w:rFonts w:eastAsia="SimSun;宋体" w:cs="Times New Roman"/>
        </w:rPr>
        <w:t>лощадью 95.4 кв.м., наименование: Гостевой дом, этажность: 1, в том числе подземных 0.</w:t>
      </w:r>
    </w:p>
    <w:p w14:paraId="11C465B4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367E6A61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15:</w:t>
      </w:r>
    </w:p>
    <w:p w14:paraId="2AC3E9B9" w14:textId="6AF43CDC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 xml:space="preserve">Нежилое здание по адресу: Астраханская область, р-н. Икрянинский, п. Троицкий, ул. Гагарина, д. 1а, кадастровый номер: </w:t>
      </w:r>
      <w:r>
        <w:rPr>
          <w:rFonts w:eastAsia="SimSun;宋体" w:cs="Times New Roman"/>
          <w:shd w:val="clear" w:color="auto" w:fill="FFFFFF"/>
        </w:rPr>
        <w:t>30:04:150102:386, пло</w:t>
      </w:r>
      <w:r>
        <w:rPr>
          <w:rFonts w:eastAsia="SimSun;宋体" w:cs="Times New Roman"/>
        </w:rPr>
        <w:t>щадью 225.9 кв.м., наименование: Гараж, этажность: 1, в том числе подземных 0.</w:t>
      </w:r>
    </w:p>
    <w:p w14:paraId="38EA39EC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0CBCD2CD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16:</w:t>
      </w:r>
    </w:p>
    <w:p w14:paraId="42EFC190" w14:textId="2EC7A864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eastAsia="SimSun;宋体" w:cs="Times New Roman"/>
          <w:shd w:val="clear" w:color="auto" w:fill="FFFFFF"/>
        </w:rPr>
        <w:t xml:space="preserve"> 30:04:150102:389,</w:t>
      </w:r>
      <w:r>
        <w:rPr>
          <w:rFonts w:eastAsia="SimSun;宋体" w:cs="Times New Roman"/>
        </w:rPr>
        <w:t xml:space="preserve"> площадью 14.2 кв.м., наименование: дизельно-генераторная, этажность: 1, в том числе подземных 0.</w:t>
      </w:r>
    </w:p>
    <w:p w14:paraId="02E188E8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lastRenderedPageBreak/>
        <w:t>Обременения (ограничения): не зарегистрированы.</w:t>
      </w:r>
    </w:p>
    <w:p w14:paraId="214DECB9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17:</w:t>
      </w:r>
    </w:p>
    <w:p w14:paraId="457F30C7" w14:textId="1DF1A9ED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 xml:space="preserve">Сооружение по адресу: Астраханская область, р-н Икрянинский, п. Троицкий, ул. Гагарина, д. 1а, кадастровый номер: </w:t>
      </w:r>
      <w:r>
        <w:rPr>
          <w:rFonts w:eastAsia="SimSun;宋体" w:cs="Times New Roman"/>
          <w:shd w:val="clear" w:color="auto" w:fill="FFFFFF"/>
        </w:rPr>
        <w:t>30:04:150102:477,</w:t>
      </w:r>
      <w:r>
        <w:rPr>
          <w:rFonts w:eastAsia="SimSun;宋体" w:cs="Times New Roman"/>
        </w:rPr>
        <w:t xml:space="preserve"> площадью 24 кв.м., протяженностью 423 м., наименование: Ограждение, этажность: </w:t>
      </w:r>
      <w:r w:rsidR="008716CF">
        <w:rPr>
          <w:rFonts w:eastAsia="SimSun;宋体" w:cs="Times New Roman"/>
        </w:rPr>
        <w:t>данные отсутствуют</w:t>
      </w:r>
      <w:r>
        <w:rPr>
          <w:rFonts w:eastAsia="SimSun;宋体" w:cs="Times New Roman"/>
        </w:rPr>
        <w:t>.</w:t>
      </w:r>
    </w:p>
    <w:p w14:paraId="3B7F1C48" w14:textId="77777777" w:rsidR="00D76880" w:rsidRDefault="00D76880">
      <w:pPr>
        <w:ind w:right="-57" w:firstLine="567"/>
        <w:jc w:val="both"/>
        <w:rPr>
          <w:rFonts w:cs="Times New Roman"/>
        </w:rPr>
      </w:pPr>
    </w:p>
    <w:p w14:paraId="166CD5C5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68519159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18:</w:t>
      </w:r>
    </w:p>
    <w:p w14:paraId="1C41F8AC" w14:textId="53A8B0A6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eastAsia="SimSun;宋体" w:cs="Times New Roman"/>
          <w:shd w:val="clear" w:color="auto" w:fill="FFFFFF"/>
        </w:rPr>
        <w:t xml:space="preserve"> 30:04:150102:384, </w:t>
      </w:r>
      <w:r>
        <w:rPr>
          <w:rFonts w:eastAsia="SimSun;宋体" w:cs="Times New Roman"/>
        </w:rPr>
        <w:t>площадью 245.3 кв.м., наименование: Гостевой дом, этажность: 2, в том числе подземных 1.</w:t>
      </w:r>
    </w:p>
    <w:p w14:paraId="29EDA332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1C9A7E4C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19:</w:t>
      </w:r>
    </w:p>
    <w:p w14:paraId="6DEBE7DF" w14:textId="236EB423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eastAsia="SimSun;宋体" w:cs="Times New Roman"/>
          <w:shd w:val="clear" w:color="auto" w:fill="FFFFFF"/>
        </w:rPr>
        <w:t xml:space="preserve"> 30:04:150102:387, </w:t>
      </w:r>
      <w:r>
        <w:rPr>
          <w:rFonts w:eastAsia="SimSun;宋体" w:cs="Times New Roman"/>
        </w:rPr>
        <w:t xml:space="preserve">площадью 250.4 кв.м., наименование: спортивно-оздоровительный </w:t>
      </w:r>
      <w:proofErr w:type="gramStart"/>
      <w:r>
        <w:rPr>
          <w:rFonts w:eastAsia="SimSun;宋体" w:cs="Times New Roman"/>
        </w:rPr>
        <w:t>комплекс ,</w:t>
      </w:r>
      <w:proofErr w:type="gramEnd"/>
      <w:r>
        <w:rPr>
          <w:rFonts w:eastAsia="SimSun;宋体" w:cs="Times New Roman"/>
        </w:rPr>
        <w:t xml:space="preserve"> этажность: 1, в том числе подземных 0.</w:t>
      </w:r>
    </w:p>
    <w:p w14:paraId="0E2B540B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2F43F18E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20:</w:t>
      </w:r>
    </w:p>
    <w:p w14:paraId="5C9699F8" w14:textId="77777777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 xml:space="preserve">Сооружение по адресу: Астраханская область, р-н Икрянинский, п. Троицкий, ул. Гагарина, д. 1а, кадастровый номер: </w:t>
      </w:r>
      <w:r>
        <w:rPr>
          <w:rFonts w:eastAsia="SimSun;宋体" w:cs="Times New Roman"/>
          <w:shd w:val="clear" w:color="auto" w:fill="FFFFFF"/>
        </w:rPr>
        <w:t>30:04:150102:474</w:t>
      </w:r>
      <w:r>
        <w:rPr>
          <w:rFonts w:eastAsia="SimSun;宋体" w:cs="Times New Roman"/>
        </w:rPr>
        <w:t>, площадью 814 кв.м., протяженностью 814 м., наименование: Дорога, назначение: нежилое. Площадь: общая 814 кв.м. Этажность: 1</w:t>
      </w:r>
      <w:proofErr w:type="gramStart"/>
      <w:r>
        <w:rPr>
          <w:rFonts w:eastAsia="SimSun;宋体" w:cs="Times New Roman"/>
        </w:rPr>
        <w:t>. ,</w:t>
      </w:r>
      <w:proofErr w:type="gramEnd"/>
      <w:r>
        <w:rPr>
          <w:rFonts w:eastAsia="SimSun;宋体" w:cs="Times New Roman"/>
        </w:rPr>
        <w:t xml:space="preserve"> этажность: 1, в том числе подземных 0.</w:t>
      </w:r>
    </w:p>
    <w:p w14:paraId="189DA094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72260D4D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21:</w:t>
      </w:r>
    </w:p>
    <w:p w14:paraId="38D94460" w14:textId="37534B02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SimSun;宋体" w:cs="Times New Roman"/>
        </w:rPr>
        <w:t>Нежилое здание по адресу: Астраханская область, р-н. Икрянинский, п. Троицкий, ул. Гагарина, д. 1а, кадастровый номер: 30:04:150102:383, площадью 95.5 кв.м., наименование: Гостевой дом, этажность: 1, в том числе подземных 0.</w:t>
      </w:r>
    </w:p>
    <w:p w14:paraId="0220E508" w14:textId="7777777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42FF0254" w14:textId="77777777" w:rsidR="00D76880" w:rsidRDefault="00985B52">
      <w:pPr>
        <w:ind w:right="-57"/>
        <w:jc w:val="both"/>
        <w:rPr>
          <w:rFonts w:cs="Times New Roman"/>
        </w:rPr>
      </w:pPr>
      <w:r w:rsidRPr="008716CF">
        <w:rPr>
          <w:rFonts w:cs="Times New Roman"/>
        </w:rPr>
        <w:t>Объект 22:</w:t>
      </w:r>
    </w:p>
    <w:p w14:paraId="4C09209E" w14:textId="15307217" w:rsidR="00D76880" w:rsidRDefault="00985B52">
      <w:pPr>
        <w:ind w:right="-57" w:firstLine="567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 xml:space="preserve">Сооружение по адресу: Астраханская область, р-н Икрянинский, п. Троицкий, ул. Гагарина, д. 1а, кадастровый номер: </w:t>
      </w:r>
      <w:r>
        <w:rPr>
          <w:rFonts w:eastAsia="SimSun;宋体" w:cs="Times New Roman"/>
          <w:shd w:val="clear" w:color="auto" w:fill="FFFFFF"/>
        </w:rPr>
        <w:t>30:04:150102:440</w:t>
      </w:r>
      <w:r>
        <w:rPr>
          <w:rFonts w:eastAsia="SimSun;宋体" w:cs="Times New Roman"/>
        </w:rPr>
        <w:t xml:space="preserve">, площадью 45 кв.м., протяженностью 941 м., наименование: </w:t>
      </w:r>
      <w:r>
        <w:rPr>
          <w:rFonts w:cs="Times New Roman"/>
          <w:color w:val="000000"/>
        </w:rPr>
        <w:t>Воздушная линия электропередачи низкого напряжения</w:t>
      </w:r>
      <w:r>
        <w:rPr>
          <w:rFonts w:eastAsia="SimSun;宋体" w:cs="Times New Roman"/>
        </w:rPr>
        <w:t>, назначение:</w:t>
      </w:r>
      <w:r>
        <w:rPr>
          <w:rStyle w:val="a3"/>
          <w:rFonts w:cs="Times New Roman"/>
        </w:rPr>
        <w:t xml:space="preserve"> </w:t>
      </w:r>
      <w:r>
        <w:rPr>
          <w:rFonts w:cs="Times New Roman"/>
          <w:color w:val="000000"/>
        </w:rPr>
        <w:t>Инженерно-коммуникационное</w:t>
      </w:r>
      <w:r>
        <w:rPr>
          <w:rFonts w:eastAsia="SimSun;宋体" w:cs="Times New Roman"/>
        </w:rPr>
        <w:t>. Площадь: общая 45 кв.м. Этажность: 1, в том числе подземных 0.</w:t>
      </w:r>
    </w:p>
    <w:p w14:paraId="15351E8C" w14:textId="77777777" w:rsidR="00D76880" w:rsidRDefault="00985B52">
      <w:pPr>
        <w:ind w:right="-57" w:firstLine="567"/>
        <w:jc w:val="both"/>
        <w:rPr>
          <w:rFonts w:eastAsia="NSimSun" w:cs="Times New Roman"/>
          <w:lang w:eastAsia="zh-CN"/>
        </w:rPr>
      </w:pPr>
      <w:r>
        <w:rPr>
          <w:rFonts w:eastAsia="SimSun;宋体" w:cs="Times New Roman"/>
        </w:rPr>
        <w:t>Обременения (ограничения): не зарегистрированы.</w:t>
      </w:r>
    </w:p>
    <w:p w14:paraId="31E1AFD6" w14:textId="77777777" w:rsidR="00D76880" w:rsidRDefault="00D76880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3A236974" w14:textId="63D13FD6" w:rsidR="00D76880" w:rsidRDefault="00985B52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Начальная цена Лота устанавливается в размере </w:t>
      </w:r>
      <w:r>
        <w:rPr>
          <w:rFonts w:cs="Times New Roman"/>
          <w:b/>
          <w:color w:val="000000"/>
        </w:rPr>
        <w:t>70 000 000 (Семьдесят миллионов) рублей 00 копеек.</w:t>
      </w:r>
    </w:p>
    <w:p w14:paraId="7B915044" w14:textId="77777777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Сумма задатка – </w:t>
      </w:r>
      <w:r>
        <w:rPr>
          <w:rFonts w:cs="Times New Roman"/>
          <w:b/>
        </w:rPr>
        <w:t>800 000 (Восемьсот тысяч) рублей 00 копеек.</w:t>
      </w:r>
    </w:p>
    <w:p w14:paraId="10C14BB3" w14:textId="77777777" w:rsidR="00D76880" w:rsidRDefault="00D76880">
      <w:pPr>
        <w:ind w:right="-57" w:firstLine="567"/>
        <w:jc w:val="both"/>
        <w:rPr>
          <w:rFonts w:eastAsia="Calibri" w:cs="Times New Roman"/>
          <w:b/>
          <w:kern w:val="0"/>
          <w:lang w:eastAsia="en-US" w:bidi="ar-SA"/>
        </w:rPr>
      </w:pPr>
    </w:p>
    <w:p w14:paraId="6281C367" w14:textId="77777777" w:rsidR="00D76880" w:rsidRDefault="00985B52">
      <w:pPr>
        <w:ind w:right="-57" w:firstLine="567"/>
        <w:jc w:val="both"/>
        <w:rPr>
          <w:rFonts w:cs="Times New Roman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Шаг аукциона на повышение – </w:t>
      </w:r>
      <w:r>
        <w:rPr>
          <w:rFonts w:cs="Times New Roman"/>
          <w:b/>
        </w:rPr>
        <w:t>500 000 (Пятьсот тысяч) рублей 00 копеек.</w:t>
      </w:r>
    </w:p>
    <w:p w14:paraId="27323B28" w14:textId="77777777" w:rsidR="00D76880" w:rsidRDefault="00D76880">
      <w:pPr>
        <w:ind w:right="-57" w:firstLine="567"/>
        <w:jc w:val="both"/>
        <w:rPr>
          <w:rFonts w:cs="Times New Roman"/>
          <w:b/>
          <w:bCs/>
        </w:rPr>
      </w:pPr>
    </w:p>
    <w:p w14:paraId="4D144738" w14:textId="77777777" w:rsidR="00D76880" w:rsidRDefault="00985B52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1DFD1972" w14:textId="2F53EB10" w:rsidR="00D76880" w:rsidRDefault="00985B52">
      <w:pPr>
        <w:ind w:left="-15" w:right="60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rFonts w:cs="Times New Roman"/>
          </w:rPr>
          <w:t>при проведении электронных торгов по продаже</w:t>
        </w:r>
      </w:hyperlink>
      <w:hyperlink r:id="rId19">
        <w:r>
          <w:rPr>
            <w:rFonts w:cs="Times New Roman"/>
          </w:rPr>
          <w:t xml:space="preserve"> </w:t>
        </w:r>
      </w:hyperlink>
      <w:hyperlink r:id="rId20">
        <w:r>
          <w:rPr>
            <w:rFonts w:cs="Times New Roman"/>
          </w:rPr>
          <w:t xml:space="preserve">имущества, имущественных </w:t>
        </w:r>
      </w:hyperlink>
      <w:hyperlink r:id="rId2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4">
        <w:r>
          <w:rPr>
            <w:rFonts w:cs="Times New Roman"/>
            <w:u w:val="single" w:color="000000"/>
          </w:rPr>
          <w:t>www</w:t>
        </w:r>
      </w:hyperlink>
      <w:hyperlink r:id="rId25">
        <w:r>
          <w:rPr>
            <w:rFonts w:cs="Times New Roman"/>
            <w:u w:val="single" w:color="000000"/>
          </w:rPr>
          <w:t>.</w:t>
        </w:r>
      </w:hyperlink>
      <w:hyperlink r:id="rId26">
        <w:r>
          <w:rPr>
            <w:rFonts w:cs="Times New Roman"/>
            <w:u w:val="single" w:color="000000"/>
            <w:lang w:val="en-US"/>
          </w:rPr>
          <w:t>lot</w:t>
        </w:r>
      </w:hyperlink>
      <w:r w:rsidR="00A10601">
        <w:fldChar w:fldCharType="begin"/>
      </w:r>
      <w:r w:rsidR="00A10601" w:rsidRPr="00A10601">
        <w:rPr>
          <w:lang w:val="en-US"/>
        </w:rPr>
        <w:instrText>HYPERLINK "http://www.lot-online.ru/" \h</w:instrText>
      </w:r>
      <w:r w:rsidR="00A10601">
        <w:fldChar w:fldCharType="separate"/>
      </w:r>
      <w:r>
        <w:rPr>
          <w:rFonts w:cs="Times New Roman"/>
          <w:u w:val="single" w:color="000000"/>
          <w:lang w:val="en-US"/>
        </w:rPr>
        <w:t>-</w:t>
      </w:r>
      <w:r w:rsidR="00A10601">
        <w:rPr>
          <w:rFonts w:cs="Times New Roman"/>
          <w:u w:val="single" w:color="000000"/>
          <w:lang w:val="en-US"/>
        </w:rPr>
        <w:fldChar w:fldCharType="end"/>
      </w:r>
      <w:r w:rsidR="00A10601">
        <w:fldChar w:fldCharType="begin"/>
      </w:r>
      <w:r w:rsidR="00A10601" w:rsidRPr="00A10601">
        <w:rPr>
          <w:lang w:val="en-US"/>
        </w:rPr>
        <w:instrText>HYPERLINK "http://www.lot-online.ru/" \h</w:instrText>
      </w:r>
      <w:r w:rsidR="00A10601">
        <w:fldChar w:fldCharType="separate"/>
      </w:r>
      <w:r>
        <w:rPr>
          <w:rFonts w:cs="Times New Roman"/>
          <w:u w:val="single" w:color="000000"/>
          <w:lang w:val="en-US"/>
        </w:rPr>
        <w:t>online</w:t>
      </w:r>
      <w:r w:rsidR="00A10601">
        <w:rPr>
          <w:rFonts w:cs="Times New Roman"/>
          <w:u w:val="single" w:color="000000"/>
          <w:lang w:val="en-US"/>
        </w:rPr>
        <w:fldChar w:fldCharType="end"/>
      </w:r>
      <w:r w:rsidR="00A10601">
        <w:fldChar w:fldCharType="begin"/>
      </w:r>
      <w:r w:rsidR="00A10601" w:rsidRPr="00A10601">
        <w:rPr>
          <w:lang w:val="en-US"/>
        </w:rPr>
        <w:instrText>HYPERLINK "http://www.lot-online.ru/" \h</w:instrText>
      </w:r>
      <w:r w:rsidR="00A10601">
        <w:fldChar w:fldCharType="separate"/>
      </w:r>
      <w:r>
        <w:rPr>
          <w:rFonts w:cs="Times New Roman"/>
          <w:u w:val="single" w:color="000000"/>
          <w:lang w:val="en-US"/>
        </w:rPr>
        <w:t>.</w:t>
      </w:r>
      <w:r w:rsidR="00A10601">
        <w:rPr>
          <w:rFonts w:cs="Times New Roman"/>
          <w:u w:val="single" w:color="000000"/>
          <w:lang w:val="en-US"/>
        </w:rPr>
        <w:fldChar w:fldCharType="end"/>
      </w:r>
      <w:r w:rsidR="00A10601">
        <w:fldChar w:fldCharType="begin"/>
      </w:r>
      <w:r w:rsidR="00A10601" w:rsidRPr="00A10601">
        <w:rPr>
          <w:lang w:val="en-US"/>
        </w:rPr>
        <w:instrText>HYPERLINK "http://www.lot-online.ru/" \h</w:instrText>
      </w:r>
      <w:r w:rsidR="00A10601">
        <w:fldChar w:fldCharType="separate"/>
      </w:r>
      <w:r>
        <w:rPr>
          <w:rFonts w:cs="Times New Roman"/>
          <w:u w:val="single" w:color="000000"/>
          <w:lang w:val="en-US"/>
        </w:rPr>
        <w:t>ru</w:t>
      </w:r>
      <w:r w:rsidR="00A10601">
        <w:rPr>
          <w:rFonts w:cs="Times New Roman"/>
          <w:u w:val="single" w:color="000000"/>
          <w:lang w:val="en-US"/>
        </w:rPr>
        <w:fldChar w:fldCharType="end"/>
      </w:r>
      <w:r w:rsidR="00A10601">
        <w:fldChar w:fldCharType="begin"/>
      </w:r>
      <w:r w:rsidR="00A10601" w:rsidRPr="00A10601">
        <w:rPr>
          <w:lang w:val="en-US"/>
        </w:rPr>
        <w:instrText>HYPERLINK "http://www.lot-online.ru/" \h</w:instrText>
      </w:r>
      <w:r w:rsidR="00A10601">
        <w:fldChar w:fldCharType="separate"/>
      </w:r>
      <w:r>
        <w:rPr>
          <w:rFonts w:cs="Times New Roman"/>
          <w:lang w:val="en-US"/>
        </w:rPr>
        <w:t xml:space="preserve"> </w:t>
      </w:r>
      <w:r w:rsidR="00A10601">
        <w:rPr>
          <w:rFonts w:cs="Times New Roman"/>
          <w:lang w:val="en-US"/>
        </w:rPr>
        <w:fldChar w:fldCharType="end"/>
      </w:r>
      <w:r>
        <w:rPr>
          <w:rFonts w:cs="Times New Roman"/>
          <w:lang w:val="en-US"/>
        </w:rPr>
        <w:t xml:space="preserve">(https://sales.lot-online.ru/e-auction/Regulations.xhtml).  </w:t>
      </w:r>
    </w:p>
    <w:p w14:paraId="11C5E5AF" w14:textId="77777777" w:rsidR="00D76880" w:rsidRDefault="00985B52">
      <w:pPr>
        <w:spacing w:line="259" w:lineRule="auto"/>
        <w:ind w:right="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7009380C" w14:textId="77777777" w:rsidR="00D76880" w:rsidRDefault="00985B52">
      <w:pPr>
        <w:spacing w:line="259" w:lineRule="auto"/>
        <w:ind w:left="721" w:right="60"/>
        <w:jc w:val="both"/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 xml:space="preserve"> </w:t>
      </w:r>
    </w:p>
    <w:p w14:paraId="2CB81D85" w14:textId="77777777" w:rsidR="00D76880" w:rsidRDefault="00985B52">
      <w:pPr>
        <w:spacing w:after="8"/>
        <w:ind w:left="669" w:right="60"/>
        <w:jc w:val="center"/>
        <w:rPr>
          <w:rFonts w:cs="Times New Roman"/>
        </w:rPr>
      </w:pPr>
      <w:r>
        <w:rPr>
          <w:rFonts w:cs="Times New Roman"/>
          <w:b/>
        </w:rPr>
        <w:lastRenderedPageBreak/>
        <w:t>УСЛОВИЯ ПРОВЕДЕНИЯ АУКЦИОНА:</w:t>
      </w:r>
    </w:p>
    <w:p w14:paraId="2E514638" w14:textId="77777777" w:rsidR="00D76880" w:rsidRDefault="00985B52">
      <w:pPr>
        <w:ind w:left="-15" w:right="60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EFF9015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2D47693F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279D53DB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59A6B45A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B61B895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27">
        <w:r>
          <w:rPr>
            <w:rFonts w:cs="Times New Roman"/>
          </w:rPr>
          <w:t>электронной подписью</w:t>
        </w:r>
      </w:hyperlink>
      <w:hyperlink r:id="rId28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1EF32ECE" w14:textId="77777777" w:rsidR="00D76880" w:rsidRDefault="00985B52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72576648" w14:textId="77777777" w:rsidR="00D76880" w:rsidRDefault="00985B52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1DFBC302" w14:textId="77777777" w:rsidR="00D76880" w:rsidRDefault="00985B52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5E74D81A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43933603" w14:textId="77777777" w:rsidR="00D76880" w:rsidRDefault="00985B52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018BDF65" w14:textId="77777777" w:rsidR="00D76880" w:rsidRDefault="00985B52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E05D20C" w14:textId="77777777" w:rsidR="00D76880" w:rsidRDefault="00985B52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70580494" w14:textId="77777777" w:rsidR="00D76880" w:rsidRDefault="00985B52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7BB48EA2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8D0DA35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F4FF8BF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1A069AE5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0A70FF10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2BF5C14F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0E05CBE5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</w:t>
      </w:r>
      <w:r>
        <w:rPr>
          <w:rFonts w:cs="Times New Roman"/>
        </w:rPr>
        <w:lastRenderedPageBreak/>
        <w:t>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F6BBBA7" w14:textId="77777777" w:rsidR="00D76880" w:rsidRDefault="00985B52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330AB6A2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3D0D2AD6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D31203F" w14:textId="77777777" w:rsidR="00D76880" w:rsidRDefault="00985B52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20AED5D3" w14:textId="77777777" w:rsidR="00D76880" w:rsidRDefault="00D76880">
      <w:pPr>
        <w:ind w:right="60"/>
        <w:jc w:val="both"/>
        <w:rPr>
          <w:rFonts w:cs="Times New Roman"/>
        </w:rPr>
      </w:pPr>
    </w:p>
    <w:p w14:paraId="6E4DB752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67EC36B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81BB8D0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A8DCE58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D31C415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093C49BA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8E50DDB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>
        <w:r>
          <w:rPr>
            <w:rFonts w:cs="Times New Roman"/>
            <w:color w:val="0000FF"/>
            <w:u w:val="single" w:color="0000FF"/>
          </w:rPr>
          <w:t>www</w:t>
        </w:r>
      </w:hyperlink>
      <w:hyperlink r:id="rId30">
        <w:r>
          <w:rPr>
            <w:rFonts w:cs="Times New Roman"/>
            <w:color w:val="0000FF"/>
            <w:u w:val="single" w:color="0000FF"/>
          </w:rPr>
          <w:t>.</w:t>
        </w:r>
      </w:hyperlink>
      <w:hyperlink r:id="rId31">
        <w:r>
          <w:rPr>
            <w:rFonts w:cs="Times New Roman"/>
            <w:color w:val="0000FF"/>
            <w:u w:val="single" w:color="0000FF"/>
          </w:rPr>
          <w:t>lot</w:t>
        </w:r>
      </w:hyperlink>
      <w:hyperlink r:id="rId32">
        <w:r>
          <w:rPr>
            <w:rFonts w:cs="Times New Roman"/>
            <w:color w:val="0000FF"/>
            <w:u w:val="single" w:color="0000FF"/>
          </w:rPr>
          <w:t>-</w:t>
        </w:r>
      </w:hyperlink>
      <w:hyperlink r:id="rId33">
        <w:r>
          <w:rPr>
            <w:rFonts w:cs="Times New Roman"/>
            <w:color w:val="0000FF"/>
            <w:u w:val="single" w:color="0000FF"/>
          </w:rPr>
          <w:t>online</w:t>
        </w:r>
      </w:hyperlink>
      <w:hyperlink r:id="rId34">
        <w:r>
          <w:rPr>
            <w:rFonts w:cs="Times New Roman"/>
            <w:color w:val="0000FF"/>
            <w:u w:val="single" w:color="0000FF"/>
          </w:rPr>
          <w:t>.</w:t>
        </w:r>
      </w:hyperlink>
      <w:hyperlink r:id="rId35">
        <w:r>
          <w:rPr>
            <w:rFonts w:cs="Times New Roman"/>
            <w:color w:val="0000FF"/>
            <w:u w:val="single" w:color="0000FF"/>
          </w:rPr>
          <w:t>ru</w:t>
        </w:r>
      </w:hyperlink>
      <w:hyperlink r:id="rId36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651679F" w14:textId="77777777" w:rsidR="00D76880" w:rsidRDefault="00985B52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C01092A" w14:textId="77777777" w:rsidR="00D76880" w:rsidRDefault="00985B52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7EC97841" w14:textId="77777777" w:rsidR="00D76880" w:rsidRDefault="00D76880">
      <w:pPr>
        <w:spacing w:line="264" w:lineRule="auto"/>
        <w:ind w:right="60"/>
        <w:jc w:val="both"/>
        <w:rPr>
          <w:rFonts w:cs="Times New Roman"/>
        </w:rPr>
      </w:pPr>
    </w:p>
    <w:p w14:paraId="12175A50" w14:textId="77777777" w:rsidR="00D76880" w:rsidRDefault="00985B52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16 августа 2024 </w:t>
      </w:r>
      <w:r>
        <w:rPr>
          <w:rFonts w:cs="Times New Roman"/>
          <w:b/>
        </w:rPr>
        <w:t>года</w:t>
      </w:r>
    </w:p>
    <w:p w14:paraId="24F07CEA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8F4EC48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271966BE" w14:textId="77777777" w:rsidR="00D76880" w:rsidRDefault="00985B52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4873FAC" w14:textId="7A88BF3F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</w:t>
      </w:r>
      <w:r w:rsidR="00821273">
        <w:rPr>
          <w:rFonts w:cs="Times New Roman"/>
        </w:rPr>
        <w:t xml:space="preserve"> и предпоследнего участника</w:t>
      </w:r>
      <w:r>
        <w:rPr>
          <w:rFonts w:cs="Times New Roman"/>
        </w:rPr>
        <w:t xml:space="preserve"> в течение 5 (пяти) рабочих </w:t>
      </w:r>
      <w:r>
        <w:rPr>
          <w:rFonts w:cs="Times New Roman"/>
        </w:rPr>
        <w:lastRenderedPageBreak/>
        <w:t xml:space="preserve">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23A26940" w14:textId="77777777" w:rsidR="00D76880" w:rsidRDefault="00985B52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8AC85D5" w14:textId="77777777" w:rsidR="00D76880" w:rsidRDefault="00985B52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7D96FE16" w14:textId="77777777" w:rsidR="00D76880" w:rsidRDefault="00985B52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249E9DA9" w14:textId="77777777" w:rsidR="00D76880" w:rsidRDefault="00985B52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413260C" w14:textId="77777777" w:rsidR="00D76880" w:rsidRDefault="00985B52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DA78968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F4F15C0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58023EB7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692CD5C2" w14:textId="77777777" w:rsidR="00D76880" w:rsidRDefault="00985B52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7811672A" w14:textId="77777777" w:rsidR="00D76880" w:rsidRDefault="00985B5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4EAFA17B" w14:textId="77777777" w:rsidR="00D76880" w:rsidRDefault="00985B5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2D2C2D3" w14:textId="77777777" w:rsidR="00D76880" w:rsidRDefault="00985B5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A88FC02" w14:textId="77777777" w:rsidR="00D76880" w:rsidRDefault="00985B5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438AD05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6D527FEA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10231D1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C3DD181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A9B0CA5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</w:t>
      </w:r>
      <w:r>
        <w:rPr>
          <w:rFonts w:cs="Times New Roman"/>
        </w:rPr>
        <w:lastRenderedPageBreak/>
        <w:t xml:space="preserve">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7940D40E" w14:textId="77777777" w:rsidR="00D76880" w:rsidRDefault="00D76880">
      <w:pPr>
        <w:spacing w:line="259" w:lineRule="auto"/>
        <w:ind w:left="708" w:right="60"/>
        <w:jc w:val="both"/>
        <w:rPr>
          <w:rFonts w:cs="Times New Roman"/>
        </w:rPr>
      </w:pPr>
    </w:p>
    <w:p w14:paraId="47140D2E" w14:textId="77777777" w:rsidR="00D76880" w:rsidRDefault="00985B52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674A6D5C" w14:textId="77777777" w:rsidR="00D76880" w:rsidRDefault="00985B52">
      <w:pPr>
        <w:spacing w:line="264" w:lineRule="auto"/>
        <w:ind w:left="2115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ПРОВЕДЕНИЯ ЭЛЕКТРОННОГО АУКЦИОНА: </w:t>
      </w:r>
    </w:p>
    <w:p w14:paraId="2D523F7C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5A4273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CB41DC7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54E739A0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459AA357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58790FE1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7630B52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6DB627CC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0021A33E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58024D1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40112E9C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E35DFE0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23DA7FF9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06C4701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24ECB926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8879ABB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7547CD0D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E9252BF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E7D604D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1AE42791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DCEA4FE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B9C6A68" w14:textId="77777777" w:rsidR="00D76880" w:rsidRDefault="00D76880">
      <w:pPr>
        <w:ind w:left="-15" w:right="60"/>
        <w:jc w:val="both"/>
        <w:rPr>
          <w:rFonts w:cs="Times New Roman"/>
        </w:rPr>
      </w:pPr>
    </w:p>
    <w:p w14:paraId="7AAAF237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0B1B3167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2D42F4FE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7CBD6D11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Объекта.</w:t>
      </w:r>
    </w:p>
    <w:p w14:paraId="0A0E193E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9EB20EF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</w:rPr>
        <w:t>www.lot-online.ru .</w:t>
      </w:r>
      <w:proofErr w:type="gramEnd"/>
    </w:p>
    <w:p w14:paraId="2C5B609E" w14:textId="77777777" w:rsidR="00D76880" w:rsidRDefault="00D76880">
      <w:pPr>
        <w:ind w:left="-15" w:right="60"/>
        <w:jc w:val="both"/>
        <w:rPr>
          <w:rFonts w:cs="Times New Roman"/>
        </w:rPr>
      </w:pPr>
    </w:p>
    <w:p w14:paraId="48966789" w14:textId="77777777" w:rsidR="00D76880" w:rsidRDefault="00D76880">
      <w:pPr>
        <w:spacing w:after="31" w:line="259" w:lineRule="auto"/>
        <w:ind w:left="708" w:right="60"/>
        <w:jc w:val="both"/>
        <w:rPr>
          <w:rFonts w:cs="Times New Roman"/>
        </w:rPr>
      </w:pPr>
    </w:p>
    <w:p w14:paraId="4D0EE050" w14:textId="77777777" w:rsidR="00D76880" w:rsidRDefault="00D76880">
      <w:pPr>
        <w:spacing w:after="31" w:line="259" w:lineRule="auto"/>
        <w:ind w:left="708" w:right="60"/>
        <w:jc w:val="both"/>
        <w:rPr>
          <w:rFonts w:cs="Times New Roman"/>
        </w:rPr>
      </w:pPr>
    </w:p>
    <w:p w14:paraId="4EC04C55" w14:textId="77777777" w:rsidR="00D76880" w:rsidRDefault="00985B52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423D289A" w14:textId="043D581C" w:rsidR="00D76880" w:rsidRDefault="00985B52">
      <w:pPr>
        <w:spacing w:line="264" w:lineRule="auto"/>
        <w:ind w:left="-15" w:right="60" w:firstLine="724"/>
        <w:jc w:val="both"/>
        <w:rPr>
          <w:rFonts w:cs="Times New Roman"/>
        </w:rPr>
      </w:pPr>
      <w:r>
        <w:rPr>
          <w:rFonts w:cs="Times New Roman"/>
          <w:b/>
        </w:rPr>
        <w:t xml:space="preserve">Договор купли-продажи Объекта заключается победителем электронного аукциона/единственным участником (Покупателем) с Продавцом в течение </w:t>
      </w:r>
      <w:r w:rsidR="00517E92">
        <w:rPr>
          <w:rFonts w:cs="Times New Roman"/>
          <w:b/>
        </w:rPr>
        <w:t>5-ти</w:t>
      </w:r>
      <w:r>
        <w:rPr>
          <w:rFonts w:cs="Times New Roman"/>
          <w:b/>
        </w:rPr>
        <w:t xml:space="preserve"> (</w:t>
      </w:r>
      <w:r w:rsidR="00517E92">
        <w:rPr>
          <w:rFonts w:cs="Times New Roman"/>
          <w:b/>
        </w:rPr>
        <w:t>пяти</w:t>
      </w:r>
      <w:r>
        <w:rPr>
          <w:rFonts w:cs="Times New Roman"/>
          <w:b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3F4B7FFA" w14:textId="77777777" w:rsidR="00D76880" w:rsidRDefault="00985B52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4E79601A" w14:textId="77777777" w:rsidR="00D76880" w:rsidRDefault="00985B52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3153C2CA" w14:textId="77777777" w:rsidR="00DD1A6F" w:rsidRDefault="00DD1A6F">
      <w:pPr>
        <w:ind w:left="-15" w:right="60" w:firstLine="724"/>
        <w:jc w:val="both"/>
        <w:rPr>
          <w:rFonts w:cs="Times New Roman"/>
        </w:rPr>
      </w:pPr>
    </w:p>
    <w:p w14:paraId="5930E42E" w14:textId="593A8FDF" w:rsidR="00DD1A6F" w:rsidRPr="000A2BB6" w:rsidRDefault="00985B52" w:rsidP="00DD1A6F">
      <w:pPr>
        <w:ind w:left="-15" w:right="60" w:firstLine="724"/>
        <w:jc w:val="both"/>
        <w:rPr>
          <w:rFonts w:eastAsia="Courier New" w:cs="Times New Roman"/>
          <w:bCs/>
        </w:rPr>
      </w:pPr>
      <w:r>
        <w:rPr>
          <w:rFonts w:cs="Times New Roman"/>
        </w:rPr>
        <w:t>В случае уклонения (отказа) победителя аукциона от заключения договора купли-продажи Объекта</w:t>
      </w:r>
      <w:r w:rsidR="00DD1A6F">
        <w:rPr>
          <w:rFonts w:cs="Times New Roman"/>
        </w:rPr>
        <w:t xml:space="preserve"> в установленный срок,</w:t>
      </w:r>
      <w:r>
        <w:rPr>
          <w:rFonts w:cs="Times New Roman"/>
        </w:rPr>
        <w:t xml:space="preserve"> оплат</w:t>
      </w:r>
      <w:r w:rsidR="00DD1A6F">
        <w:rPr>
          <w:rFonts w:cs="Times New Roman"/>
        </w:rPr>
        <w:t>а</w:t>
      </w:r>
      <w:r>
        <w:rPr>
          <w:rFonts w:cs="Times New Roman"/>
        </w:rPr>
        <w:t xml:space="preserve"> цены Объекта, </w:t>
      </w:r>
      <w:r w:rsidR="00DD1A6F">
        <w:rPr>
          <w:rFonts w:cs="Times New Roman"/>
        </w:rPr>
        <w:t xml:space="preserve">договор купли-продажи Объекта может быть заключен с </w:t>
      </w:r>
      <w:r>
        <w:rPr>
          <w:rFonts w:cs="Times New Roman"/>
        </w:rPr>
        <w:t>участник</w:t>
      </w:r>
      <w:r w:rsidR="00DD1A6F">
        <w:rPr>
          <w:rFonts w:cs="Times New Roman"/>
        </w:rPr>
        <w:t>ом</w:t>
      </w:r>
      <w:r>
        <w:rPr>
          <w:rFonts w:cs="Times New Roman"/>
        </w:rPr>
        <w:t xml:space="preserve"> аукциона, сделавший предпоследнее предложение по цене Объекта в ходе торгов, в течение </w:t>
      </w:r>
      <w:r w:rsidR="00DD1A6F">
        <w:rPr>
          <w:rFonts w:cs="Times New Roman"/>
        </w:rPr>
        <w:t>5</w:t>
      </w:r>
      <w:r>
        <w:rPr>
          <w:rFonts w:cs="Times New Roman"/>
        </w:rPr>
        <w:t xml:space="preserve"> (</w:t>
      </w:r>
      <w:r w:rsidR="00DD1A6F">
        <w:rPr>
          <w:rFonts w:cs="Times New Roman"/>
        </w:rPr>
        <w:t>пяти</w:t>
      </w:r>
      <w:r>
        <w:rPr>
          <w:rFonts w:cs="Times New Roman"/>
        </w:rPr>
        <w:t xml:space="preserve">) рабочих дней с даты получения </w:t>
      </w:r>
      <w:r w:rsidR="00DD1A6F">
        <w:rPr>
          <w:rFonts w:cs="Times New Roman"/>
        </w:rPr>
        <w:t>указанным лицом от Доверителя</w:t>
      </w:r>
      <w:r>
        <w:rPr>
          <w:rFonts w:cs="Times New Roman"/>
        </w:rPr>
        <w:t xml:space="preserve"> предложени</w:t>
      </w:r>
      <w:r w:rsidR="00DD1A6F">
        <w:rPr>
          <w:rFonts w:cs="Times New Roman"/>
        </w:rPr>
        <w:t>я</w:t>
      </w:r>
      <w:r>
        <w:rPr>
          <w:rFonts w:cs="Times New Roman"/>
        </w:rPr>
        <w:t xml:space="preserve"> </w:t>
      </w:r>
      <w:r w:rsidR="00DD1A6F">
        <w:rPr>
          <w:rFonts w:cs="Times New Roman"/>
        </w:rPr>
        <w:t xml:space="preserve">о </w:t>
      </w:r>
      <w:r>
        <w:rPr>
          <w:rFonts w:cs="Times New Roman"/>
        </w:rPr>
        <w:t>заключ</w:t>
      </w:r>
      <w:r w:rsidR="00DD1A6F">
        <w:rPr>
          <w:rFonts w:cs="Times New Roman"/>
        </w:rPr>
        <w:t>ении</w:t>
      </w:r>
      <w:r>
        <w:rPr>
          <w:rFonts w:cs="Times New Roman"/>
        </w:rPr>
        <w:t xml:space="preserve"> договор</w:t>
      </w:r>
      <w:r w:rsidR="00DD1A6F">
        <w:rPr>
          <w:rFonts w:cs="Times New Roman"/>
        </w:rPr>
        <w:t>а</w:t>
      </w:r>
      <w:r>
        <w:rPr>
          <w:rFonts w:cs="Times New Roman"/>
        </w:rPr>
        <w:t xml:space="preserve"> купли-продажи Объекта. </w:t>
      </w:r>
      <w:r w:rsidR="00DD1A6F">
        <w:rPr>
          <w:rFonts w:cs="Times New Roman"/>
        </w:rPr>
        <w:t xml:space="preserve">Для участника, сделавшего </w:t>
      </w:r>
      <w:r>
        <w:rPr>
          <w:rFonts w:cs="Times New Roman"/>
        </w:rPr>
        <w:t xml:space="preserve">предпоследнее предложение по цене Объекта в ходе торгов, </w:t>
      </w:r>
      <w:r w:rsidR="00DD1A6F">
        <w:rPr>
          <w:rFonts w:cs="Times New Roman"/>
        </w:rPr>
        <w:t xml:space="preserve">заключение договора купли-продажи Объекта является обязательным, в случае отказа от заключения договора задаток участнику не возвращается. </w:t>
      </w:r>
      <w:r w:rsidR="000A2BB6">
        <w:rPr>
          <w:rFonts w:cs="Times New Roman"/>
        </w:rPr>
        <w:t xml:space="preserve">Оплата цены Объекта производится </w:t>
      </w:r>
      <w:r>
        <w:rPr>
          <w:rFonts w:cs="Times New Roman"/>
        </w:rPr>
        <w:t xml:space="preserve">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47E12C1A" w14:textId="77777777" w:rsidR="00D76880" w:rsidRDefault="00985B52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2465C0FB" w14:textId="77777777" w:rsidR="00D76880" w:rsidRDefault="00985B52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6EA9275C" w14:textId="77777777" w:rsidR="00D76880" w:rsidRDefault="00D76880">
      <w:pPr>
        <w:ind w:left="-15" w:right="60" w:firstLine="582"/>
        <w:jc w:val="both"/>
        <w:rPr>
          <w:rFonts w:cs="Times New Roman"/>
        </w:rPr>
      </w:pPr>
    </w:p>
    <w:p w14:paraId="6A57EDE1" w14:textId="77777777" w:rsidR="00D76880" w:rsidRDefault="00985B52">
      <w:pPr>
        <w:widowControl/>
        <w:shd w:val="clear" w:color="auto" w:fill="FFFFFF"/>
        <w:textAlignment w:val="top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cs="Times New Roman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</w:t>
      </w:r>
      <w:proofErr w:type="gramStart"/>
      <w:r>
        <w:rPr>
          <w:rFonts w:cs="Times New Roman"/>
        </w:rPr>
        <w:t xml:space="preserve">торгов:   </w:t>
      </w:r>
      <w:proofErr w:type="gramEnd"/>
      <w:r>
        <w:rPr>
          <w:rFonts w:cs="Times New Roman"/>
        </w:rPr>
        <w:t xml:space="preserve">              +</w:t>
      </w:r>
      <w:r>
        <w:rPr>
          <w:rFonts w:eastAsia="Times New Roman" w:cs="Times New Roman"/>
          <w:color w:val="000000"/>
          <w:kern w:val="0"/>
          <w:lang w:eastAsia="ru-RU" w:bidi="ar-SA"/>
        </w:rPr>
        <w:t>7(967) 246-44-02</w:t>
      </w:r>
      <w:r>
        <w:rPr>
          <w:rFonts w:cs="Times New Roman"/>
        </w:rPr>
        <w:t>, +7(915) 379-40-57</w:t>
      </w:r>
    </w:p>
    <w:p w14:paraId="4A4DBB83" w14:textId="77777777" w:rsidR="00D76880" w:rsidRDefault="00985B52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37">
        <w:r>
          <w:rPr>
            <w:rFonts w:cs="Times New Roman"/>
            <w:u w:val="single" w:color="000000"/>
          </w:rPr>
          <w:t>www.lot</w:t>
        </w:r>
      </w:hyperlink>
      <w:hyperlink r:id="rId38">
        <w:r>
          <w:rPr>
            <w:rFonts w:cs="Times New Roman"/>
            <w:u w:val="single" w:color="000000"/>
          </w:rPr>
          <w:t>-</w:t>
        </w:r>
      </w:hyperlink>
      <w:hyperlink r:id="rId39">
        <w:r>
          <w:rPr>
            <w:rFonts w:cs="Times New Roman"/>
            <w:u w:val="single" w:color="000000"/>
          </w:rPr>
          <w:t>online.ru</w:t>
        </w:r>
      </w:hyperlink>
      <w:hyperlink r:id="rId40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231F6436" w14:textId="77777777" w:rsidR="00D76880" w:rsidRDefault="00D76880">
      <w:pPr>
        <w:ind w:left="567" w:right="60"/>
        <w:jc w:val="both"/>
        <w:rPr>
          <w:rFonts w:cs="Times New Roman"/>
        </w:rPr>
      </w:pPr>
    </w:p>
    <w:p w14:paraId="06543A5F" w14:textId="77777777" w:rsidR="00D76880" w:rsidRDefault="00D76880">
      <w:pPr>
        <w:spacing w:line="259" w:lineRule="auto"/>
        <w:ind w:left="567" w:right="60"/>
        <w:jc w:val="both"/>
        <w:rPr>
          <w:rFonts w:cs="Times New Roman"/>
        </w:rPr>
      </w:pPr>
    </w:p>
    <w:p w14:paraId="684FFE50" w14:textId="77777777" w:rsidR="00D76880" w:rsidRDefault="00985B52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5FDC3EEB" w14:textId="77777777" w:rsidR="00D76880" w:rsidRDefault="00985B52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- выписки из ЕГРН</w:t>
      </w:r>
    </w:p>
    <w:p w14:paraId="1F66A0E1" w14:textId="77777777" w:rsidR="00D76880" w:rsidRDefault="00D76880">
      <w:pPr>
        <w:snapToGrid w:val="0"/>
        <w:ind w:left="-12" w:right="27" w:firstLine="24"/>
        <w:jc w:val="both"/>
        <w:rPr>
          <w:rFonts w:cs="Times New Roman"/>
        </w:rPr>
      </w:pPr>
    </w:p>
    <w:sectPr w:rsidR="00D76880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45B3"/>
    <w:multiLevelType w:val="multilevel"/>
    <w:tmpl w:val="45842EA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CC21CBD"/>
    <w:multiLevelType w:val="multilevel"/>
    <w:tmpl w:val="4AA4D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9D0C73"/>
    <w:multiLevelType w:val="multilevel"/>
    <w:tmpl w:val="AA66B46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89A7885"/>
    <w:multiLevelType w:val="multilevel"/>
    <w:tmpl w:val="B8AE7EB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718818658">
    <w:abstractNumId w:val="0"/>
  </w:num>
  <w:num w:numId="2" w16cid:durableId="2057468217">
    <w:abstractNumId w:val="3"/>
  </w:num>
  <w:num w:numId="3" w16cid:durableId="1665745239">
    <w:abstractNumId w:val="2"/>
  </w:num>
  <w:num w:numId="4" w16cid:durableId="52313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80"/>
    <w:rsid w:val="000A2BB6"/>
    <w:rsid w:val="0024767C"/>
    <w:rsid w:val="002D220B"/>
    <w:rsid w:val="00517E92"/>
    <w:rsid w:val="005511D3"/>
    <w:rsid w:val="00821273"/>
    <w:rsid w:val="008716CF"/>
    <w:rsid w:val="00985B52"/>
    <w:rsid w:val="00A10601"/>
    <w:rsid w:val="00AF78B3"/>
    <w:rsid w:val="00B17F40"/>
    <w:rsid w:val="00CE4AED"/>
    <w:rsid w:val="00D76880"/>
    <w:rsid w:val="00DD1A6F"/>
    <w:rsid w:val="00E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BA95"/>
  <w15:docId w15:val="{BC591816-DFF2-45F8-A6FA-6D3AF1B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semiHidden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1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3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4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5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7</Pages>
  <Words>4424</Words>
  <Characters>25220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52</cp:revision>
  <cp:lastPrinted>2023-03-20T16:54:00Z</cp:lastPrinted>
  <dcterms:created xsi:type="dcterms:W3CDTF">2022-09-30T07:14:00Z</dcterms:created>
  <dcterms:modified xsi:type="dcterms:W3CDTF">2024-06-06T10:42:00Z</dcterms:modified>
  <dc:language>ru-RU</dc:language>
</cp:coreProperties>
</file>